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400A" w:rsidRPr="00047B96" w:rsidRDefault="00DB400A" w:rsidP="00047B96">
      <w:pPr>
        <w:pStyle w:val="Titolo2"/>
        <w:numPr>
          <w:ilvl w:val="0"/>
          <w:numId w:val="0"/>
        </w:numPr>
        <w:spacing w:before="0" w:after="0"/>
        <w:jc w:val="right"/>
        <w:rPr>
          <w:rFonts w:ascii="Tahoma" w:hAnsi="Tahoma" w:cs="Tahoma"/>
          <w:b w:val="0"/>
          <w:i w:val="0"/>
          <w:sz w:val="16"/>
          <w:szCs w:val="16"/>
          <w:u w:val="single"/>
        </w:rPr>
      </w:pPr>
      <w:r w:rsidRPr="00047B96">
        <w:rPr>
          <w:rFonts w:ascii="Tahoma" w:hAnsi="Tahoma" w:cs="Tahoma"/>
          <w:b w:val="0"/>
          <w:i w:val="0"/>
          <w:sz w:val="16"/>
          <w:szCs w:val="16"/>
          <w:u w:val="single"/>
        </w:rPr>
        <w:t>Comunicato stampa</w:t>
      </w:r>
    </w:p>
    <w:p w:rsidR="00DB400A" w:rsidRPr="00114047" w:rsidRDefault="00DB400A" w:rsidP="00DB400A">
      <w:pPr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</w:pPr>
    </w:p>
    <w:p w:rsidR="00DB400A" w:rsidRPr="00FC7A1A" w:rsidRDefault="00DB400A" w:rsidP="00DB400A">
      <w:pPr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</w:pPr>
      <w:r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Indagine MECSPE (Fiere di Parma, 26 -28 marzo</w:t>
      </w:r>
      <w:r w:rsidR="00047B96"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 xml:space="preserve"> 2015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)</w:t>
      </w:r>
    </w:p>
    <w:p w:rsidR="00DB400A" w:rsidRPr="00FC7A1A" w:rsidRDefault="00DB400A" w:rsidP="00DB400A">
      <w:pPr>
        <w:jc w:val="center"/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</w:pPr>
    </w:p>
    <w:p w:rsidR="00047B96" w:rsidRPr="00FC7A1A" w:rsidRDefault="00047B96" w:rsidP="00047B96">
      <w:pPr>
        <w:jc w:val="center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Meccanica e subfornitura italiana: occupazione stabile, investimenti nella formazione per quasi nove aziende su dieci e </w:t>
      </w:r>
      <w:r w:rsidRPr="00FC7A1A">
        <w:rPr>
          <w:rFonts w:ascii="Tahoma" w:eastAsia="Arial Unicode MS" w:hAnsi="Tahoma" w:cs="Tahoma"/>
          <w:b/>
          <w:sz w:val="20"/>
          <w:szCs w:val="20"/>
        </w:rPr>
        <w:t xml:space="preserve">scuola fonte primaria per la ricerca del personale </w:t>
      </w:r>
    </w:p>
    <w:p w:rsidR="00047B96" w:rsidRPr="00FC7A1A" w:rsidRDefault="00047B96" w:rsidP="00D90E7F">
      <w:pPr>
        <w:jc w:val="center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D90E7F" w:rsidRPr="00FC7A1A" w:rsidRDefault="00D90E7F" w:rsidP="00D90E7F">
      <w:pPr>
        <w:jc w:val="center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Secondo i dati </w:t>
      </w:r>
      <w:proofErr w:type="spellStart"/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Excelsior-Unioncamere</w:t>
      </w:r>
      <w:proofErr w:type="spellEnd"/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, in Italia nel primo trimestre 2015 si prevedono nell’industria </w:t>
      </w:r>
      <w:r w:rsidR="00643FD0">
        <w:rPr>
          <w:rFonts w:ascii="Tahoma" w:eastAsia="Arial Unicode MS" w:hAnsi="Tahoma" w:cs="Tahoma"/>
          <w:i/>
          <w:color w:val="000000"/>
          <w:sz w:val="20"/>
          <w:szCs w:val="20"/>
        </w:rPr>
        <w:t>29.140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assunzioni</w:t>
      </w:r>
      <w:r w:rsidR="000B59D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di dipendenti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: </w:t>
      </w:r>
      <w:r w:rsidRPr="00FC7A1A">
        <w:rPr>
          <w:rFonts w:ascii="Tahoma" w:eastAsia="Arial Unicode MS" w:hAnsi="Tahoma" w:cs="Tahoma"/>
          <w:i/>
          <w:sz w:val="20"/>
          <w:szCs w:val="20"/>
        </w:rPr>
        <w:t>saranno prevalentement</w:t>
      </w:r>
      <w:r w:rsidR="00F8656F">
        <w:rPr>
          <w:rFonts w:ascii="Tahoma" w:eastAsia="Arial Unicode MS" w:hAnsi="Tahoma" w:cs="Tahoma"/>
          <w:i/>
          <w:sz w:val="20"/>
          <w:szCs w:val="20"/>
        </w:rPr>
        <w:t>e contratti a tempo determinato;</w:t>
      </w:r>
      <w:r w:rsidRPr="00FC7A1A">
        <w:rPr>
          <w:rFonts w:ascii="Tahoma" w:eastAsia="Arial Unicode MS" w:hAnsi="Tahoma" w:cs="Tahoma"/>
          <w:i/>
          <w:sz w:val="20"/>
          <w:szCs w:val="20"/>
        </w:rPr>
        <w:t xml:space="preserve"> 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si ricercano maggiormente operai specializzati e conduttori di impianti e macchinari e profili con esperienze specifiche </w:t>
      </w:r>
      <w:r w:rsidR="00643FD0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e in possesso di </w:t>
      </w:r>
      <w:r w:rsidR="00F8656F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un </w:t>
      </w:r>
      <w:r w:rsidR="00643FD0">
        <w:rPr>
          <w:rFonts w:ascii="Tahoma" w:eastAsia="Arial Unicode MS" w:hAnsi="Tahoma" w:cs="Tahoma"/>
          <w:i/>
          <w:color w:val="000000"/>
          <w:sz w:val="20"/>
          <w:szCs w:val="20"/>
        </w:rPr>
        <w:t>titolo di studio</w:t>
      </w:r>
    </w:p>
    <w:p w:rsidR="00832023" w:rsidRPr="00FC7A1A" w:rsidRDefault="00832023" w:rsidP="00737C88">
      <w:pPr>
        <w:jc w:val="both"/>
        <w:rPr>
          <w:rFonts w:ascii="Tahoma" w:hAnsi="Tahoma" w:cs="Tahoma"/>
          <w:sz w:val="20"/>
          <w:szCs w:val="20"/>
        </w:rPr>
      </w:pPr>
    </w:p>
    <w:p w:rsidR="00AA40D4" w:rsidRDefault="00DB400A" w:rsidP="00AA40D4">
      <w:pPr>
        <w:jc w:val="both"/>
      </w:pP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Milano, </w:t>
      </w:r>
      <w:r w:rsidR="000230D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17 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marzo 2015 </w:t>
      </w:r>
      <w:r w:rsidR="00195E28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–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</w:t>
      </w:r>
      <w:r w:rsidR="00B5324F" w:rsidRPr="00FC7A1A">
        <w:rPr>
          <w:rFonts w:ascii="Tahoma" w:eastAsia="Arial Unicode MS" w:hAnsi="Tahoma" w:cs="Tahoma"/>
          <w:color w:val="000000"/>
          <w:sz w:val="20"/>
          <w:szCs w:val="20"/>
        </w:rPr>
        <w:t>Segnali positivi sul fronte dell’occupazione per il comparto della meccanica e della subfornitura</w:t>
      </w:r>
      <w:r w:rsidR="0012796F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italiana</w:t>
      </w:r>
      <w:r w:rsidR="00213E90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, </w:t>
      </w:r>
      <w:r w:rsidR="00213E90" w:rsidRPr="00FC7A1A">
        <w:rPr>
          <w:rFonts w:ascii="Tahoma" w:eastAsia="Arial Unicode MS" w:hAnsi="Tahoma" w:cs="Tahoma"/>
          <w:sz w:val="20"/>
          <w:szCs w:val="20"/>
        </w:rPr>
        <w:t xml:space="preserve">soprattutto per chi investe in </w:t>
      </w:r>
      <w:r w:rsidR="00B73E72" w:rsidRPr="00FC7A1A">
        <w:rPr>
          <w:rFonts w:ascii="Tahoma" w:eastAsia="Arial Unicode MS" w:hAnsi="Tahoma" w:cs="Tahoma"/>
          <w:sz w:val="20"/>
          <w:szCs w:val="20"/>
        </w:rPr>
        <w:t xml:space="preserve">formazione e </w:t>
      </w:r>
      <w:r w:rsidR="00213E90" w:rsidRPr="00FC7A1A">
        <w:rPr>
          <w:rFonts w:ascii="Tahoma" w:eastAsia="Arial Unicode MS" w:hAnsi="Tahoma" w:cs="Tahoma"/>
          <w:sz w:val="20"/>
          <w:szCs w:val="20"/>
        </w:rPr>
        <w:t>innovazione.</w:t>
      </w:r>
      <w:r w:rsidR="00213E90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B5324F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Il numero di addetti nel 2014, rispetto al 2011, si è mantenuto complessivamente stabile per il 62,1% delle aziende e il 26,8% ha dichiarato addirittura una crescita. </w:t>
      </w:r>
      <w:r w:rsidR="00AA40D4" w:rsidRPr="00AA40D4">
        <w:rPr>
          <w:rFonts w:ascii="Tahoma" w:hAnsi="Tahoma" w:cs="Tahoma"/>
          <w:color w:val="000000"/>
          <w:sz w:val="20"/>
          <w:szCs w:val="20"/>
        </w:rPr>
        <w:t>Solo l’11.1%</w:t>
      </w:r>
      <w:r w:rsidR="00AA40D4">
        <w:rPr>
          <w:rFonts w:ascii="Tahoma" w:hAnsi="Tahoma" w:cs="Tahoma"/>
          <w:color w:val="000000"/>
          <w:sz w:val="20"/>
          <w:szCs w:val="20"/>
        </w:rPr>
        <w:t xml:space="preserve"> ha dovuto ridurre l’organico. Le previsioni per il 2015 vedono ben l’80,3% intenzionato a mantenere stabile il livello occupazionale, il 14,8% prospetta incrementi e solo un 4,8% prevede cali. </w:t>
      </w:r>
    </w:p>
    <w:p w:rsidR="00FC7A1A" w:rsidRPr="00552BE0" w:rsidRDefault="00FC7A1A" w:rsidP="00E90B9F">
      <w:pPr>
        <w:jc w:val="both"/>
        <w:rPr>
          <w:rFonts w:ascii="Tahoma" w:eastAsia="Arial Unicode MS" w:hAnsi="Tahoma" w:cs="Tahoma"/>
          <w:color w:val="000000"/>
          <w:sz w:val="10"/>
          <w:szCs w:val="10"/>
        </w:rPr>
      </w:pPr>
      <w:r w:rsidRPr="00552BE0">
        <w:rPr>
          <w:rFonts w:ascii="Tahoma" w:eastAsia="Arial Unicode MS" w:hAnsi="Tahoma" w:cs="Tahoma"/>
          <w:color w:val="000000"/>
          <w:sz w:val="10"/>
          <w:szCs w:val="10"/>
        </w:rPr>
        <w:t xml:space="preserve"> </w:t>
      </w:r>
    </w:p>
    <w:p w:rsidR="00E90B9F" w:rsidRPr="009E6D5F" w:rsidRDefault="0012796F" w:rsidP="00E90B9F">
      <w:pPr>
        <w:jc w:val="both"/>
        <w:rPr>
          <w:rFonts w:ascii="Tahoma" w:hAnsi="Tahoma" w:cs="Tahoma"/>
          <w:sz w:val="20"/>
          <w:szCs w:val="20"/>
        </w:rPr>
      </w:pPr>
      <w:r w:rsidRPr="00FC7A1A">
        <w:rPr>
          <w:rFonts w:ascii="Tahoma" w:eastAsia="Arial Unicode MS" w:hAnsi="Tahoma" w:cs="Tahoma"/>
          <w:sz w:val="20"/>
          <w:szCs w:val="20"/>
        </w:rPr>
        <w:t xml:space="preserve">Questo </w:t>
      </w:r>
      <w:r w:rsidR="00BA6058" w:rsidRPr="00FC7A1A">
        <w:rPr>
          <w:rFonts w:ascii="Tahoma" w:eastAsia="Arial Unicode MS" w:hAnsi="Tahoma" w:cs="Tahoma"/>
          <w:sz w:val="20"/>
          <w:szCs w:val="20"/>
        </w:rPr>
        <w:t>il quadro</w:t>
      </w:r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 </w:t>
      </w:r>
      <w:r w:rsidR="00BA6058" w:rsidRPr="00FC7A1A">
        <w:rPr>
          <w:rFonts w:ascii="Tahoma" w:eastAsia="Arial Unicode MS" w:hAnsi="Tahoma" w:cs="Tahoma"/>
          <w:sz w:val="20"/>
          <w:szCs w:val="20"/>
        </w:rPr>
        <w:t>tracciato</w:t>
      </w:r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 </w:t>
      </w:r>
      <w:r w:rsidR="00E90B9F" w:rsidRPr="00FC7A1A">
        <w:rPr>
          <w:rFonts w:ascii="Tahoma" w:eastAsia="Arial Unicode MS" w:hAnsi="Tahoma" w:cs="Tahoma"/>
          <w:b/>
          <w:sz w:val="20"/>
          <w:szCs w:val="20"/>
        </w:rPr>
        <w:t>dall’Osservatorio MECSPE</w:t>
      </w:r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 realizzato da </w:t>
      </w:r>
      <w:proofErr w:type="spellStart"/>
      <w:r w:rsidR="00E90B9F" w:rsidRPr="00FC7A1A">
        <w:rPr>
          <w:rFonts w:ascii="Tahoma" w:eastAsia="Arial Unicode MS" w:hAnsi="Tahoma" w:cs="Tahoma"/>
          <w:sz w:val="20"/>
          <w:szCs w:val="20"/>
        </w:rPr>
        <w:t>Senaf</w:t>
      </w:r>
      <w:proofErr w:type="spellEnd"/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 in occasione di </w:t>
      </w:r>
      <w:r w:rsidR="00E90B9F" w:rsidRPr="00FC7A1A">
        <w:rPr>
          <w:rFonts w:ascii="Tahoma" w:eastAsia="Arial Unicode MS" w:hAnsi="Tahoma" w:cs="Tahoma"/>
          <w:b/>
          <w:sz w:val="20"/>
          <w:szCs w:val="20"/>
        </w:rPr>
        <w:t xml:space="preserve">MECSPE, </w:t>
      </w:r>
      <w:r w:rsidR="00E90B9F" w:rsidRPr="00FC7A1A">
        <w:rPr>
          <w:rFonts w:ascii="Tahoma" w:hAnsi="Tahoma" w:cs="Tahoma"/>
          <w:b/>
          <w:sz w:val="20"/>
          <w:szCs w:val="20"/>
        </w:rPr>
        <w:t>la fiera internazionale delle tecnologie per l’innovazione</w:t>
      </w:r>
      <w:r w:rsidR="00E90B9F" w:rsidRPr="00FC7A1A">
        <w:rPr>
          <w:rFonts w:ascii="Tahoma" w:eastAsia="Arial Unicode MS" w:hAnsi="Tahoma" w:cs="Tahoma"/>
          <w:b/>
          <w:sz w:val="20"/>
          <w:szCs w:val="20"/>
        </w:rPr>
        <w:t xml:space="preserve"> (Fiere di Parma, 26 -28 marzo 2015)</w:t>
      </w:r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. La manifestazione, punto di riferimento per il </w:t>
      </w:r>
      <w:r w:rsidR="008E1E63" w:rsidRPr="00FC7A1A">
        <w:rPr>
          <w:rFonts w:ascii="Tahoma" w:eastAsia="Arial Unicode MS" w:hAnsi="Tahoma" w:cs="Tahoma"/>
          <w:sz w:val="20"/>
          <w:szCs w:val="20"/>
        </w:rPr>
        <w:t>settore</w:t>
      </w:r>
      <w:r w:rsidR="00E90B9F" w:rsidRPr="00FC7A1A">
        <w:rPr>
          <w:rFonts w:ascii="Tahoma" w:eastAsia="Arial Unicode MS" w:hAnsi="Tahoma" w:cs="Tahoma"/>
          <w:sz w:val="20"/>
          <w:szCs w:val="20"/>
        </w:rPr>
        <w:t xml:space="preserve">, darà </w:t>
      </w:r>
      <w:r w:rsidR="00E90B9F" w:rsidRPr="00FC7A1A">
        <w:rPr>
          <w:rFonts w:ascii="Tahoma" w:hAnsi="Tahoma" w:cs="Tahoma"/>
          <w:sz w:val="20"/>
          <w:szCs w:val="20"/>
        </w:rPr>
        <w:t xml:space="preserve">la possibilità di trovare </w:t>
      </w:r>
      <w:r w:rsidR="00E90B9F" w:rsidRPr="00FC7A1A">
        <w:rPr>
          <w:rStyle w:val="NormaleTahomaCarattere"/>
          <w:sz w:val="20"/>
          <w:szCs w:val="20"/>
        </w:rPr>
        <w:t xml:space="preserve">prodotti all’avanguardia, tecnologie innovative, partner con cui sviluppare occasioni di business e soluzioni per migliorare la propria produzione. </w:t>
      </w:r>
      <w:r w:rsidR="009E6D5F" w:rsidRPr="00B37DC3">
        <w:rPr>
          <w:rStyle w:val="NormaleTahomaCarattere"/>
          <w:sz w:val="20"/>
          <w:szCs w:val="20"/>
        </w:rPr>
        <w:t xml:space="preserve">Una rassegna completa con </w:t>
      </w:r>
      <w:r w:rsidR="009E6D5F">
        <w:rPr>
          <w:rFonts w:ascii="Tahoma" w:hAnsi="Tahoma" w:cs="Tahoma"/>
          <w:sz w:val="20"/>
          <w:szCs w:val="20"/>
        </w:rPr>
        <w:t>1.229 espositori, 31 isole di lavorazione, 15 quartieri tematici, 9 saloni tematici, 10 piazze d’eccellenza, 103 tra convegni e miniconferenze organizzati da aziende, università e istituti di ricerca.</w:t>
      </w:r>
    </w:p>
    <w:p w:rsidR="00B5324F" w:rsidRPr="00552BE0" w:rsidRDefault="00B5324F" w:rsidP="00E90B9F">
      <w:pPr>
        <w:jc w:val="both"/>
        <w:rPr>
          <w:rFonts w:ascii="Tahoma" w:hAnsi="Tahoma" w:cs="Tahoma"/>
          <w:sz w:val="10"/>
          <w:szCs w:val="10"/>
        </w:rPr>
      </w:pPr>
    </w:p>
    <w:p w:rsidR="00B5324F" w:rsidRPr="00FC7A1A" w:rsidRDefault="0079602C" w:rsidP="00B5324F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C7A1A">
        <w:rPr>
          <w:rFonts w:ascii="Tahoma" w:eastAsia="Calibri" w:hAnsi="Tahoma" w:cs="Tahoma"/>
          <w:bCs/>
          <w:sz w:val="20"/>
          <w:szCs w:val="20"/>
          <w:lang w:eastAsia="en-US"/>
        </w:rPr>
        <w:t>L’indagine sullo scena</w:t>
      </w:r>
      <w:r w:rsidR="0012796F" w:rsidRPr="00FC7A1A">
        <w:rPr>
          <w:rFonts w:ascii="Tahoma" w:eastAsia="Calibri" w:hAnsi="Tahoma" w:cs="Tahoma"/>
          <w:bCs/>
          <w:sz w:val="20"/>
          <w:szCs w:val="20"/>
          <w:lang w:eastAsia="en-US"/>
        </w:rPr>
        <w:t>rio</w:t>
      </w:r>
      <w:r w:rsidR="00213E90" w:rsidRPr="00FC7A1A">
        <w:rPr>
          <w:rFonts w:ascii="Tahoma" w:eastAsia="Calibri" w:hAnsi="Tahoma" w:cs="Tahoma"/>
          <w:bCs/>
          <w:sz w:val="20"/>
          <w:szCs w:val="20"/>
          <w:lang w:eastAsia="en-US"/>
        </w:rPr>
        <w:t>,</w:t>
      </w:r>
      <w:r w:rsidR="0012796F"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che riguarda in prevalenza </w:t>
      </w:r>
      <w:r w:rsidRPr="00FC7A1A">
        <w:rPr>
          <w:rFonts w:ascii="Tahoma" w:eastAsia="Calibri" w:hAnsi="Tahoma" w:cs="Tahoma"/>
          <w:bCs/>
          <w:sz w:val="20"/>
          <w:szCs w:val="20"/>
          <w:lang w:eastAsia="en-US"/>
        </w:rPr>
        <w:t>aziende con fatturati inferiori ai dieci milioni di euro (84,3</w:t>
      </w:r>
      <w:r w:rsidR="002369E1" w:rsidRPr="00FC7A1A">
        <w:rPr>
          <w:rFonts w:ascii="Tahoma" w:eastAsia="Calibri" w:hAnsi="Tahoma" w:cs="Tahoma"/>
          <w:bCs/>
          <w:sz w:val="20"/>
          <w:szCs w:val="20"/>
          <w:lang w:eastAsia="en-US"/>
        </w:rPr>
        <w:t>%) e</w:t>
      </w:r>
      <w:r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che occupano </w:t>
      </w:r>
      <w:r w:rsidR="00AA40D4">
        <w:rPr>
          <w:rFonts w:ascii="Tahoma" w:eastAsia="Calibri" w:hAnsi="Tahoma" w:cs="Tahoma"/>
          <w:bCs/>
          <w:sz w:val="20"/>
          <w:szCs w:val="20"/>
          <w:lang w:eastAsia="en-US"/>
        </w:rPr>
        <w:t>meno di 50 dipendenti (86,7</w:t>
      </w:r>
      <w:r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%), </w:t>
      </w:r>
      <w:r w:rsidR="00213E90"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evidenzia come i più soddisfatti dell’andamento della propria azienda siano </w:t>
      </w:r>
      <w:r w:rsidR="00B73E72" w:rsidRPr="00FC7A1A">
        <w:rPr>
          <w:rFonts w:ascii="Tahoma" w:eastAsia="Calibri" w:hAnsi="Tahoma" w:cs="Tahoma"/>
          <w:bCs/>
          <w:sz w:val="20"/>
          <w:szCs w:val="20"/>
          <w:lang w:eastAsia="en-US"/>
        </w:rPr>
        <w:t>quelli</w:t>
      </w:r>
      <w:r w:rsidR="00213E90"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che hanno puntato sulla formazione</w:t>
      </w:r>
      <w:r w:rsidR="00B73E72" w:rsidRPr="00FC7A1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. Sono infatti quasi nove su dieci </w:t>
      </w:r>
      <w:r w:rsidR="00B73E72" w:rsidRPr="00FC7A1A">
        <w:rPr>
          <w:rFonts w:ascii="Tahoma" w:eastAsia="Arial Unicode MS" w:hAnsi="Tahoma" w:cs="Tahoma"/>
          <w:sz w:val="20"/>
          <w:szCs w:val="20"/>
        </w:rPr>
        <w:t xml:space="preserve">(89,8%) gli imprenditori che hanno investito nell’aggiornamento dei propri dipendenti. In particolare, </w:t>
      </w:r>
      <w:r w:rsidR="00B5324F" w:rsidRPr="00FC7A1A">
        <w:rPr>
          <w:rFonts w:ascii="Tahoma" w:eastAsia="Arial Unicode MS" w:hAnsi="Tahoma" w:cs="Tahoma"/>
          <w:sz w:val="20"/>
          <w:szCs w:val="20"/>
        </w:rPr>
        <w:t xml:space="preserve">il </w:t>
      </w:r>
      <w:r w:rsidR="00B5324F" w:rsidRPr="00FC7A1A">
        <w:rPr>
          <w:rFonts w:ascii="Tahoma" w:hAnsi="Tahoma" w:cs="Tahoma"/>
          <w:sz w:val="20"/>
          <w:szCs w:val="20"/>
        </w:rPr>
        <w:t>27,6%</w:t>
      </w:r>
      <w:r w:rsidR="00B73E72" w:rsidRPr="00FC7A1A">
        <w:rPr>
          <w:rFonts w:ascii="Tahoma" w:hAnsi="Tahoma" w:cs="Tahoma"/>
          <w:sz w:val="20"/>
          <w:szCs w:val="20"/>
        </w:rPr>
        <w:t xml:space="preserve"> ha dedicato </w:t>
      </w:r>
      <w:r w:rsidR="008A7B52" w:rsidRPr="00FC7A1A">
        <w:rPr>
          <w:rFonts w:ascii="Tahoma" w:hAnsi="Tahoma" w:cs="Tahoma"/>
          <w:sz w:val="20"/>
          <w:szCs w:val="20"/>
        </w:rPr>
        <w:t>“</w:t>
      </w:r>
      <w:r w:rsidR="00B73E72" w:rsidRPr="00FC7A1A">
        <w:rPr>
          <w:rFonts w:ascii="Tahoma" w:hAnsi="Tahoma" w:cs="Tahoma"/>
          <w:b/>
          <w:sz w:val="20"/>
          <w:szCs w:val="20"/>
        </w:rPr>
        <w:t>fino a 10 ore</w:t>
      </w:r>
      <w:r w:rsidR="008A7B52" w:rsidRPr="00FC7A1A">
        <w:rPr>
          <w:rFonts w:ascii="Tahoma" w:hAnsi="Tahoma" w:cs="Tahoma"/>
          <w:sz w:val="20"/>
          <w:szCs w:val="20"/>
        </w:rPr>
        <w:t>”</w:t>
      </w:r>
      <w:r w:rsidR="00B5324F" w:rsidRPr="00FC7A1A">
        <w:rPr>
          <w:rFonts w:ascii="Tahoma" w:hAnsi="Tahoma" w:cs="Tahoma"/>
          <w:sz w:val="20"/>
          <w:szCs w:val="20"/>
        </w:rPr>
        <w:t>, il 25,7%</w:t>
      </w:r>
      <w:r w:rsidR="00B73E72" w:rsidRPr="00FC7A1A">
        <w:rPr>
          <w:rFonts w:ascii="Tahoma" w:hAnsi="Tahoma" w:cs="Tahoma"/>
          <w:sz w:val="20"/>
          <w:szCs w:val="20"/>
        </w:rPr>
        <w:t xml:space="preserve"> </w:t>
      </w:r>
      <w:r w:rsidR="008A7B52" w:rsidRPr="00FC7A1A">
        <w:rPr>
          <w:rFonts w:ascii="Tahoma" w:hAnsi="Tahoma" w:cs="Tahoma"/>
          <w:sz w:val="20"/>
          <w:szCs w:val="20"/>
        </w:rPr>
        <w:t>“</w:t>
      </w:r>
      <w:r w:rsidR="00B73E72" w:rsidRPr="00FC7A1A">
        <w:rPr>
          <w:rFonts w:ascii="Tahoma" w:hAnsi="Tahoma" w:cs="Tahoma"/>
          <w:b/>
          <w:sz w:val="20"/>
          <w:szCs w:val="20"/>
        </w:rPr>
        <w:t>tra le 11 e le 20</w:t>
      </w:r>
      <w:r w:rsidR="008A7B52" w:rsidRPr="00FC7A1A">
        <w:rPr>
          <w:rFonts w:ascii="Tahoma" w:hAnsi="Tahoma" w:cs="Tahoma"/>
          <w:sz w:val="20"/>
          <w:szCs w:val="20"/>
        </w:rPr>
        <w:t>”</w:t>
      </w:r>
      <w:r w:rsidR="00B5324F" w:rsidRPr="00FC7A1A">
        <w:rPr>
          <w:rFonts w:ascii="Tahoma" w:hAnsi="Tahoma" w:cs="Tahoma"/>
          <w:sz w:val="20"/>
          <w:szCs w:val="20"/>
        </w:rPr>
        <w:t xml:space="preserve">, il 15,5% </w:t>
      </w:r>
      <w:r w:rsidR="008A7B52" w:rsidRPr="00FC7A1A">
        <w:rPr>
          <w:rFonts w:ascii="Tahoma" w:hAnsi="Tahoma" w:cs="Tahoma"/>
          <w:sz w:val="20"/>
          <w:szCs w:val="20"/>
        </w:rPr>
        <w:t>“</w:t>
      </w:r>
      <w:r w:rsidR="00B73E72" w:rsidRPr="00FC7A1A">
        <w:rPr>
          <w:rFonts w:ascii="Tahoma" w:hAnsi="Tahoma" w:cs="Tahoma"/>
          <w:b/>
          <w:sz w:val="20"/>
          <w:szCs w:val="20"/>
        </w:rPr>
        <w:t>tra le 21 e le 30</w:t>
      </w:r>
      <w:r w:rsidR="008A7B52" w:rsidRPr="00FC7A1A">
        <w:rPr>
          <w:rFonts w:ascii="Tahoma" w:hAnsi="Tahoma" w:cs="Tahoma"/>
          <w:sz w:val="20"/>
          <w:szCs w:val="20"/>
        </w:rPr>
        <w:t>”</w:t>
      </w:r>
      <w:r w:rsidR="00B73E72" w:rsidRPr="00FC7A1A">
        <w:rPr>
          <w:rFonts w:ascii="Tahoma" w:hAnsi="Tahoma" w:cs="Tahoma"/>
          <w:sz w:val="20"/>
          <w:szCs w:val="20"/>
        </w:rPr>
        <w:t xml:space="preserve"> </w:t>
      </w:r>
      <w:r w:rsidR="00B5324F" w:rsidRPr="00FC7A1A">
        <w:rPr>
          <w:rFonts w:ascii="Tahoma" w:hAnsi="Tahoma" w:cs="Tahoma"/>
          <w:sz w:val="20"/>
          <w:szCs w:val="20"/>
        </w:rPr>
        <w:t xml:space="preserve">e </w:t>
      </w:r>
      <w:r w:rsidR="008A7B52" w:rsidRPr="00FC7A1A">
        <w:rPr>
          <w:rFonts w:ascii="Tahoma" w:hAnsi="Tahoma" w:cs="Tahoma"/>
          <w:sz w:val="20"/>
          <w:szCs w:val="20"/>
        </w:rPr>
        <w:t>“</w:t>
      </w:r>
      <w:r w:rsidR="00B5324F" w:rsidRPr="00FC7A1A">
        <w:rPr>
          <w:rFonts w:ascii="Tahoma" w:hAnsi="Tahoma" w:cs="Tahoma"/>
          <w:b/>
          <w:sz w:val="20"/>
          <w:szCs w:val="20"/>
        </w:rPr>
        <w:t>oltre le 31 ore</w:t>
      </w:r>
      <w:r w:rsidR="008A7B52" w:rsidRPr="00FC7A1A">
        <w:rPr>
          <w:rFonts w:ascii="Tahoma" w:hAnsi="Tahoma" w:cs="Tahoma"/>
          <w:sz w:val="20"/>
          <w:szCs w:val="20"/>
        </w:rPr>
        <w:t>”</w:t>
      </w:r>
      <w:r w:rsidR="00B5324F" w:rsidRPr="00FC7A1A">
        <w:rPr>
          <w:rFonts w:ascii="Tahoma" w:hAnsi="Tahoma" w:cs="Tahoma"/>
          <w:sz w:val="20"/>
          <w:szCs w:val="20"/>
        </w:rPr>
        <w:t xml:space="preserve"> poco più di un quinto</w:t>
      </w:r>
      <w:r w:rsidR="00B73E72" w:rsidRPr="00FC7A1A">
        <w:rPr>
          <w:rFonts w:ascii="Tahoma" w:hAnsi="Tahoma" w:cs="Tahoma"/>
          <w:sz w:val="20"/>
          <w:szCs w:val="20"/>
        </w:rPr>
        <w:t xml:space="preserve"> (21,1%)</w:t>
      </w:r>
      <w:r w:rsidR="00B5324F" w:rsidRPr="00FC7A1A">
        <w:rPr>
          <w:rFonts w:ascii="Tahoma" w:hAnsi="Tahoma" w:cs="Tahoma"/>
          <w:sz w:val="20"/>
          <w:szCs w:val="20"/>
        </w:rPr>
        <w:t>.</w:t>
      </w:r>
    </w:p>
    <w:p w:rsidR="003206EE" w:rsidRPr="00552BE0" w:rsidRDefault="003206EE" w:rsidP="00853620">
      <w:pPr>
        <w:jc w:val="both"/>
        <w:rPr>
          <w:rFonts w:ascii="Tahoma" w:hAnsi="Tahoma" w:cs="Tahoma"/>
          <w:sz w:val="10"/>
          <w:szCs w:val="10"/>
        </w:rPr>
      </w:pPr>
    </w:p>
    <w:p w:rsidR="00231370" w:rsidRPr="00FC7A1A" w:rsidRDefault="00DB400A" w:rsidP="00853620">
      <w:pPr>
        <w:jc w:val="both"/>
        <w:rPr>
          <w:rFonts w:ascii="Tahoma" w:hAnsi="Tahoma" w:cs="Tahoma"/>
          <w:sz w:val="20"/>
          <w:szCs w:val="20"/>
        </w:rPr>
      </w:pP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“</w:t>
      </w:r>
      <w:r w:rsidR="00227DD3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L’Osservatorio condotto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in occasione di MECSPE fornisce indicazioni interessanti sul </w:t>
      </w:r>
      <w:r w:rsidR="00B73E72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settore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–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commenta 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Emilio Bianchi, Direttore di </w:t>
      </w:r>
      <w:proofErr w:type="spellStart"/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Senaf</w:t>
      </w:r>
      <w:proofErr w:type="spellEnd"/>
      <w:r w:rsidRPr="00FC7A1A">
        <w:rPr>
          <w:rFonts w:ascii="Tahoma" w:eastAsia="Arial Unicode MS" w:hAnsi="Tahoma" w:cs="Tahoma"/>
          <w:b/>
          <w:i/>
          <w:color w:val="000000"/>
          <w:sz w:val="20"/>
          <w:szCs w:val="20"/>
        </w:rPr>
        <w:t xml:space="preserve"> –</w:t>
      </w:r>
      <w:r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.</w:t>
      </w:r>
      <w:r w:rsidR="00231370" w:rsidRPr="00FC7A1A">
        <w:rPr>
          <w:rFonts w:ascii="Tahoma" w:hAnsi="Tahoma" w:cs="Tahoma"/>
          <w:sz w:val="20"/>
          <w:szCs w:val="20"/>
        </w:rPr>
        <w:t xml:space="preserve"> </w:t>
      </w:r>
      <w:r w:rsidR="0023137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Nonostante </w:t>
      </w:r>
      <w:r w:rsidR="00B73E72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le difficoltà attraversate dal P</w:t>
      </w:r>
      <w:r w:rsidR="0023137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aese e la situazione economica avversa, le aziende del comparto della meccanica e della subfornitura ancora una volta si sono mostrate capaci nel reagire e nell’individuare i punti di forza su cui investire. </w:t>
      </w:r>
      <w:r w:rsidR="0085362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Una consapevolezza che, come dimostra la nostra indagine, attribuisce a </w:t>
      </w:r>
      <w:r w:rsidR="00B73E72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innovazione, </w:t>
      </w:r>
      <w:r w:rsidR="008611E3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f</w:t>
      </w:r>
      <w:r w:rsidR="0023137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ormazione e valore umano </w:t>
      </w:r>
      <w:r w:rsidR="008611E3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u</w:t>
      </w:r>
      <w:r w:rsidR="00B477F7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n’importante</w:t>
      </w:r>
      <w:r w:rsidR="0023137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risorsa strategica per emergere in un mercato globale competitivo, che richiede </w:t>
      </w:r>
      <w:r w:rsidR="00B477F7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oggi più che mai </w:t>
      </w:r>
      <w:r w:rsidR="0023137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elevata specializzazione ed eccellenza nella produzione.</w:t>
      </w:r>
      <w:r w:rsidR="005B4BEC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Le figure più ricercate sono, infatti, quelle che hanno maturato </w:t>
      </w:r>
      <w:r w:rsidR="005B4BEC" w:rsidRPr="00FC7A1A">
        <w:rPr>
          <w:rFonts w:ascii="Tahoma" w:hAnsi="Tahoma" w:cs="Tahoma"/>
          <w:i/>
          <w:sz w:val="20"/>
          <w:szCs w:val="20"/>
        </w:rPr>
        <w:t>competenze specifiche nel settore, come gli operai specializzati o i conduttori di impianti e macchinari.</w:t>
      </w:r>
      <w:r w:rsidR="00853620" w:rsidRPr="00FC7A1A">
        <w:rPr>
          <w:rFonts w:ascii="Tahoma" w:eastAsia="Arial Unicode MS" w:hAnsi="Tahoma" w:cs="Tahoma"/>
          <w:i/>
          <w:color w:val="000000"/>
          <w:sz w:val="20"/>
          <w:szCs w:val="20"/>
        </w:rPr>
        <w:t>”</w:t>
      </w:r>
    </w:p>
    <w:p w:rsidR="00AA40D4" w:rsidRPr="00552BE0" w:rsidRDefault="00AA40D4" w:rsidP="00227DD3">
      <w:pPr>
        <w:jc w:val="both"/>
        <w:rPr>
          <w:rFonts w:ascii="Tahoma" w:eastAsia="Arial Unicode MS" w:hAnsi="Tahoma" w:cs="Tahoma"/>
          <w:b/>
          <w:color w:val="000000"/>
          <w:sz w:val="10"/>
          <w:szCs w:val="10"/>
          <w:u w:val="single"/>
        </w:rPr>
      </w:pPr>
    </w:p>
    <w:p w:rsidR="00AA40D4" w:rsidRDefault="00DD0709" w:rsidP="00227DD3">
      <w:p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Ma q</w:t>
      </w:r>
      <w:r w:rsidR="0079602C"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uali sono gli strumenti che le imprese utilizzano per la ricerca di operai e tecnici specializzati?</w:t>
      </w:r>
      <w:r w:rsidR="00B73E72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</w:t>
      </w:r>
    </w:p>
    <w:p w:rsidR="00AA40D4" w:rsidRDefault="00AA40D4" w:rsidP="00227DD3">
      <w:p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FC7A1A">
        <w:rPr>
          <w:rFonts w:ascii="Tahoma" w:eastAsia="Arial Unicode MS" w:hAnsi="Tahoma" w:cs="Tahoma"/>
          <w:color w:val="000000"/>
          <w:sz w:val="20"/>
          <w:szCs w:val="20"/>
        </w:rPr>
        <w:t>Il 40,2% si affida alle “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Agenzie di ricerca del personale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”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ma anche la scuola è un punto di riferimento importante 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e in particolare gli “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Istituti tecnici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” (37,4%) e gli “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Istituti/Scuole professionali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” (31,8%).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</w:p>
    <w:p w:rsidR="00DB400A" w:rsidRPr="00FC7A1A" w:rsidRDefault="00AA40D4" w:rsidP="00227DD3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In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misura nettamente minore le aziende scelgono di </w:t>
      </w:r>
      <w:r w:rsidR="0079602C" w:rsidRPr="00FC7A1A">
        <w:rPr>
          <w:rFonts w:ascii="Tahoma" w:eastAsia="Arial Unicode MS" w:hAnsi="Tahoma" w:cs="Tahoma"/>
          <w:color w:val="000000"/>
          <w:sz w:val="20"/>
          <w:szCs w:val="20"/>
        </w:rPr>
        <w:t>pubblicare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>“</w:t>
      </w:r>
      <w:r w:rsidR="005B4BEC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I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nserzioni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>”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</w:t>
      </w:r>
      <w:r w:rsidR="00286B25" w:rsidRPr="00FC7A1A">
        <w:rPr>
          <w:rFonts w:ascii="Tahoma" w:eastAsia="Arial Unicode MS" w:hAnsi="Tahoma" w:cs="Tahoma"/>
          <w:color w:val="000000"/>
          <w:sz w:val="20"/>
          <w:szCs w:val="20"/>
        </w:rPr>
        <w:t>(18,5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%), 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monitorare i propri competitor attingendo dal loro bacino dipendenti (9,1%) e 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di </w:t>
      </w:r>
      <w:r w:rsidR="0079602C" w:rsidRPr="00FC7A1A">
        <w:rPr>
          <w:rFonts w:ascii="Tahoma" w:eastAsia="Arial Unicode MS" w:hAnsi="Tahoma" w:cs="Tahoma"/>
          <w:color w:val="000000"/>
          <w:sz w:val="20"/>
          <w:szCs w:val="20"/>
        </w:rPr>
        <w:t>ricorrere a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gli 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>“</w:t>
      </w:r>
      <w:r w:rsidR="005B4BEC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U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ffici di collocamento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>”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>(</w:t>
      </w:r>
      <w:r w:rsidR="00286B25" w:rsidRPr="00FC7A1A">
        <w:rPr>
          <w:rFonts w:ascii="Tahoma" w:eastAsia="Arial Unicode MS" w:hAnsi="Tahoma" w:cs="Tahoma"/>
          <w:color w:val="000000"/>
          <w:sz w:val="20"/>
          <w:szCs w:val="20"/>
        </w:rPr>
        <w:t>5,2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>%)</w:t>
      </w:r>
      <w:r w:rsidR="005B4BEC" w:rsidRPr="00FC7A1A">
        <w:rPr>
          <w:rFonts w:ascii="Tahoma" w:eastAsia="Arial Unicode MS" w:hAnsi="Tahoma" w:cs="Tahoma"/>
          <w:color w:val="000000"/>
          <w:sz w:val="20"/>
          <w:szCs w:val="20"/>
        </w:rPr>
        <w:t>.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Per assecondare invece i flussi incostanti di lavoro e sopperire ai vincoli previsti dalle assunzioni sono sempre le 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>“</w:t>
      </w:r>
      <w:r w:rsidR="00BA6876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A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genzie interinali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>”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i primi interlocutori delle imprese (</w:t>
      </w:r>
      <w:r w:rsidR="00286B25" w:rsidRPr="00FC7A1A">
        <w:rPr>
          <w:rFonts w:ascii="Tahoma" w:eastAsia="Arial Unicode MS" w:hAnsi="Tahoma" w:cs="Tahoma"/>
          <w:color w:val="000000"/>
          <w:sz w:val="20"/>
          <w:szCs w:val="20"/>
        </w:rPr>
        <w:t>42,3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%) mentre </w:t>
      </w:r>
      <w:r w:rsidR="00286B25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quasi 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>due aziende su dieci (19,6%)</w:t>
      </w:r>
      <w:r w:rsidR="00286B25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scelgono</w:t>
      </w:r>
      <w:r w:rsidR="00DB400A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>“</w:t>
      </w:r>
      <w:r w:rsidR="00BA6876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P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restatori d’opera occasionali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>”. Una quota molto alta (37,4%)</w:t>
      </w:r>
      <w:r w:rsidR="00F337E7" w:rsidRPr="00FC7A1A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BA6876"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invece, preferisce </w:t>
      </w:r>
      <w:r w:rsidR="00BA6876"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non assumere</w:t>
      </w:r>
      <w:r w:rsidR="00C86707" w:rsidRPr="00FC7A1A">
        <w:rPr>
          <w:rFonts w:ascii="Tahoma" w:eastAsia="Arial Unicode MS" w:hAnsi="Tahoma" w:cs="Tahoma"/>
          <w:color w:val="000000"/>
          <w:sz w:val="20"/>
          <w:szCs w:val="20"/>
        </w:rPr>
        <w:t>, un dato in crescita di quasi 7 punti percentuali rispetto alla rilevazione dello scorso anno.</w:t>
      </w:r>
    </w:p>
    <w:p w:rsidR="00DB400A" w:rsidRPr="00FC7A1A" w:rsidRDefault="00DB400A" w:rsidP="00DB400A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9C5553" w:rsidRDefault="009C5553" w:rsidP="00DB400A">
      <w:pPr>
        <w:jc w:val="both"/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</w:pPr>
    </w:p>
    <w:p w:rsidR="00DB400A" w:rsidRPr="00FC7A1A" w:rsidRDefault="002074D4" w:rsidP="00DB400A">
      <w:pPr>
        <w:jc w:val="both"/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</w:pPr>
      <w:r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Le</w:t>
      </w:r>
      <w:r w:rsidR="00DB400A"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 xml:space="preserve"> figure che l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’industria ricerca maggiormente</w:t>
      </w:r>
      <w:r w:rsidR="003F56D5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 xml:space="preserve"> da inserire nell’organico come </w:t>
      </w:r>
      <w:proofErr w:type="spellStart"/>
      <w:r w:rsidR="003F56D5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dipendenti</w:t>
      </w:r>
      <w:r w:rsidR="00F340B3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*</w:t>
      </w:r>
      <w:proofErr w:type="spellEnd"/>
      <w:r w:rsidR="003206EE" w:rsidRPr="00FC7A1A">
        <w:rPr>
          <w:rFonts w:ascii="Tahoma" w:eastAsia="Arial Unicode MS" w:hAnsi="Tahoma" w:cs="Tahoma"/>
          <w:b/>
          <w:color w:val="000000"/>
          <w:sz w:val="20"/>
          <w:szCs w:val="20"/>
          <w:u w:val="single"/>
        </w:rPr>
        <w:t>:</w:t>
      </w:r>
    </w:p>
    <w:p w:rsidR="003F56D5" w:rsidRPr="00FC7A1A" w:rsidRDefault="003F56D5" w:rsidP="003F56D5">
      <w:pPr>
        <w:jc w:val="both"/>
        <w:rPr>
          <w:rFonts w:ascii="Tahoma" w:hAnsi="Tahoma" w:cs="Tahoma"/>
          <w:color w:val="000000"/>
          <w:sz w:val="20"/>
          <w:szCs w:val="20"/>
          <w:lang w:eastAsia="it-IT"/>
        </w:rPr>
      </w:pPr>
      <w:r w:rsidRPr="003F56D5">
        <w:rPr>
          <w:rFonts w:ascii="Tahoma" w:eastAsia="Arial Unicode MS" w:hAnsi="Tahoma" w:cs="Tahoma"/>
          <w:color w:val="000000"/>
          <w:sz w:val="20"/>
          <w:szCs w:val="20"/>
        </w:rPr>
        <w:t>(</w:t>
      </w:r>
      <w:r>
        <w:rPr>
          <w:rFonts w:ascii="Tahoma" w:eastAsia="Arial Unicode MS" w:hAnsi="Tahoma" w:cs="Tahoma"/>
          <w:color w:val="000000"/>
          <w:sz w:val="20"/>
          <w:szCs w:val="20"/>
          <w:u w:val="single"/>
        </w:rPr>
        <w:t xml:space="preserve">Il </w:t>
      </w:r>
      <w:r w:rsidRPr="00FC7A1A">
        <w:rPr>
          <w:rFonts w:ascii="Tahoma" w:eastAsia="Arial Unicode MS" w:hAnsi="Tahoma" w:cs="Tahoma"/>
          <w:color w:val="000000"/>
          <w:sz w:val="20"/>
          <w:szCs w:val="20"/>
          <w:u w:val="single"/>
        </w:rPr>
        <w:t xml:space="preserve">dato non indica </w:t>
      </w:r>
      <w:r w:rsidR="001B491E">
        <w:rPr>
          <w:rFonts w:ascii="Tahoma" w:eastAsia="Arial Unicode MS" w:hAnsi="Tahoma" w:cs="Tahoma"/>
          <w:color w:val="000000"/>
          <w:sz w:val="20"/>
          <w:szCs w:val="20"/>
          <w:u w:val="single"/>
        </w:rPr>
        <w:t xml:space="preserve">necessariamente </w:t>
      </w:r>
      <w:r w:rsidRPr="00FC7A1A">
        <w:rPr>
          <w:rFonts w:ascii="Tahoma" w:eastAsia="Arial Unicode MS" w:hAnsi="Tahoma" w:cs="Tahoma"/>
          <w:color w:val="000000"/>
          <w:sz w:val="20"/>
          <w:szCs w:val="20"/>
          <w:u w:val="single"/>
        </w:rPr>
        <w:t>un incremento di occupazione sul territorio perché non considera le cessazioni di rapporti lavorativi, che possono superare i nuovi ingressi</w:t>
      </w:r>
      <w:r>
        <w:rPr>
          <w:rFonts w:ascii="Tahoma" w:eastAsia="Arial Unicode MS" w:hAnsi="Tahoma" w:cs="Tahoma"/>
          <w:color w:val="000000"/>
          <w:sz w:val="20"/>
          <w:szCs w:val="20"/>
          <w:u w:val="single"/>
        </w:rPr>
        <w:t>)</w:t>
      </w:r>
      <w:r w:rsidRPr="00FC7A1A">
        <w:rPr>
          <w:rFonts w:ascii="Tahoma" w:eastAsia="Arial Unicode MS" w:hAnsi="Tahoma" w:cs="Tahoma"/>
          <w:color w:val="000000"/>
          <w:sz w:val="20"/>
          <w:szCs w:val="20"/>
          <w:u w:val="single"/>
        </w:rPr>
        <w:t>.</w:t>
      </w:r>
    </w:p>
    <w:p w:rsidR="00282524" w:rsidRPr="00FC7A1A" w:rsidRDefault="00282524" w:rsidP="00282524">
      <w:p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282524" w:rsidRPr="00613242" w:rsidRDefault="00282524" w:rsidP="00282524">
      <w:pPr>
        <w:jc w:val="both"/>
        <w:rPr>
          <w:rFonts w:ascii="Tahoma" w:hAnsi="Tahoma" w:cs="Tahoma"/>
          <w:sz w:val="20"/>
          <w:szCs w:val="20"/>
        </w:rPr>
      </w:pP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In Italia, secondo i dati </w:t>
      </w:r>
      <w:proofErr w:type="spellStart"/>
      <w:r w:rsidRPr="009216F6">
        <w:rPr>
          <w:rFonts w:ascii="Tahoma" w:eastAsia="Arial Unicode MS" w:hAnsi="Tahoma" w:cs="Tahoma"/>
          <w:b/>
          <w:color w:val="000000"/>
          <w:sz w:val="20"/>
          <w:szCs w:val="20"/>
        </w:rPr>
        <w:t>Excelsior-Unioncamere</w:t>
      </w:r>
      <w:proofErr w:type="spellEnd"/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ed elaborati da </w:t>
      </w:r>
      <w:proofErr w:type="spellStart"/>
      <w:r w:rsidRPr="00FC7A1A">
        <w:rPr>
          <w:rFonts w:ascii="Tahoma" w:eastAsia="Arial Unicode MS" w:hAnsi="Tahoma" w:cs="Tahoma"/>
          <w:color w:val="000000"/>
          <w:sz w:val="20"/>
          <w:szCs w:val="20"/>
        </w:rPr>
        <w:t>Senaf</w:t>
      </w:r>
      <w:proofErr w:type="spellEnd"/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C7A1A">
        <w:rPr>
          <w:rFonts w:ascii="Tahoma" w:hAnsi="Tahoma" w:cs="Tahoma"/>
          <w:sz w:val="20"/>
          <w:szCs w:val="20"/>
        </w:rPr>
        <w:t xml:space="preserve">in occasione di 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MECSPE (Fiere di Parma, 26-28 marzo 2015), nel </w:t>
      </w:r>
      <w:r w:rsidR="009C5553">
        <w:rPr>
          <w:rFonts w:ascii="Tahoma" w:eastAsia="Arial Unicode MS" w:hAnsi="Tahoma" w:cs="Tahoma"/>
          <w:color w:val="000000"/>
          <w:sz w:val="20"/>
          <w:szCs w:val="20"/>
        </w:rPr>
        <w:t>primo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trimestre</w:t>
      </w:r>
      <w:r w:rsidR="009C5553">
        <w:rPr>
          <w:rFonts w:ascii="Tahoma" w:eastAsia="Arial Unicode MS" w:hAnsi="Tahoma" w:cs="Tahoma"/>
          <w:color w:val="000000"/>
          <w:sz w:val="20"/>
          <w:szCs w:val="20"/>
        </w:rPr>
        <w:t xml:space="preserve"> 2015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6E0347">
        <w:rPr>
          <w:rFonts w:ascii="Tahoma" w:eastAsia="Arial Unicode MS" w:hAnsi="Tahoma" w:cs="Tahoma"/>
          <w:b/>
          <w:color w:val="000000"/>
          <w:sz w:val="20"/>
          <w:szCs w:val="20"/>
        </w:rPr>
        <w:t>si prevedono 132.78</w:t>
      </w:r>
      <w:r w:rsidRPr="00FC7A1A">
        <w:rPr>
          <w:rFonts w:ascii="Tahoma" w:eastAsia="Arial Unicode MS" w:hAnsi="Tahoma" w:cs="Tahoma"/>
          <w:b/>
          <w:color w:val="000000"/>
          <w:sz w:val="20"/>
          <w:szCs w:val="20"/>
        </w:rPr>
        <w:t>0 assunzioni</w:t>
      </w:r>
      <w:r w:rsidR="000B59D2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di dipendenti</w:t>
      </w:r>
      <w:r w:rsidR="00BD30E5">
        <w:rPr>
          <w:rFonts w:ascii="Tahoma" w:eastAsia="Arial Unicode MS" w:hAnsi="Tahoma" w:cs="Tahoma"/>
          <w:color w:val="000000"/>
          <w:sz w:val="20"/>
          <w:szCs w:val="20"/>
        </w:rPr>
        <w:t xml:space="preserve">. Di queste il </w:t>
      </w:r>
      <w:r w:rsidR="007E4341">
        <w:rPr>
          <w:rFonts w:ascii="Tahoma" w:eastAsia="Arial Unicode MS" w:hAnsi="Tahoma" w:cs="Tahoma"/>
          <w:color w:val="000000"/>
          <w:sz w:val="20"/>
          <w:szCs w:val="20"/>
        </w:rPr>
        <w:t>22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%, pari a </w:t>
      </w:r>
      <w:r w:rsidR="007E4341">
        <w:rPr>
          <w:rFonts w:ascii="Tahoma" w:hAnsi="Tahoma" w:cs="Tahoma"/>
          <w:b/>
          <w:color w:val="000000"/>
          <w:sz w:val="20"/>
          <w:szCs w:val="20"/>
          <w:lang w:eastAsia="it-IT"/>
        </w:rPr>
        <w:t>29.140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, riguardano l’</w:t>
      </w:r>
      <w:r w:rsidRPr="00FC7A1A">
        <w:rPr>
          <w:rFonts w:ascii="Tahoma" w:hAnsi="Tahoma" w:cs="Tahoma"/>
          <w:sz w:val="20"/>
          <w:szCs w:val="20"/>
        </w:rPr>
        <w:t xml:space="preserve">industria, con contratti che saranno a </w:t>
      </w:r>
      <w:r w:rsidRPr="00FC7A1A">
        <w:rPr>
          <w:rFonts w:ascii="Tahoma" w:hAnsi="Tahoma" w:cs="Tahoma"/>
          <w:b/>
          <w:sz w:val="20"/>
          <w:szCs w:val="20"/>
        </w:rPr>
        <w:t>tempo determinato</w:t>
      </w:r>
      <w:r w:rsidR="00BD30E5">
        <w:rPr>
          <w:rFonts w:ascii="Tahoma" w:hAnsi="Tahoma" w:cs="Tahoma"/>
          <w:sz w:val="20"/>
          <w:szCs w:val="20"/>
        </w:rPr>
        <w:t xml:space="preserve"> </w:t>
      </w:r>
      <w:r w:rsidR="00BD30E5" w:rsidRPr="007E4341">
        <w:rPr>
          <w:rFonts w:ascii="Tahoma" w:hAnsi="Tahoma" w:cs="Tahoma"/>
          <w:b/>
          <w:sz w:val="20"/>
          <w:szCs w:val="20"/>
        </w:rPr>
        <w:t xml:space="preserve">per il </w:t>
      </w:r>
      <w:r w:rsidR="007E4341" w:rsidRPr="007E4341">
        <w:rPr>
          <w:rFonts w:ascii="Tahoma" w:hAnsi="Tahoma" w:cs="Tahoma"/>
          <w:b/>
          <w:sz w:val="20"/>
          <w:szCs w:val="20"/>
        </w:rPr>
        <w:t>52</w:t>
      </w:r>
      <w:r w:rsidRPr="007E4341">
        <w:rPr>
          <w:rFonts w:ascii="Tahoma" w:hAnsi="Tahoma" w:cs="Tahoma"/>
          <w:b/>
          <w:sz w:val="20"/>
          <w:szCs w:val="20"/>
        </w:rPr>
        <w:t>%</w:t>
      </w:r>
      <w:r w:rsidRPr="00FC7A1A">
        <w:rPr>
          <w:rFonts w:ascii="Tahoma" w:hAnsi="Tahoma" w:cs="Tahoma"/>
          <w:sz w:val="20"/>
          <w:szCs w:val="20"/>
        </w:rPr>
        <w:t xml:space="preserve"> e a </w:t>
      </w:r>
      <w:r w:rsidRPr="00FC7A1A">
        <w:rPr>
          <w:rFonts w:ascii="Tahoma" w:hAnsi="Tahoma" w:cs="Tahoma"/>
          <w:b/>
          <w:sz w:val="20"/>
          <w:szCs w:val="20"/>
        </w:rPr>
        <w:t>tempo indeterminato</w:t>
      </w:r>
      <w:r w:rsidR="00BD30E5">
        <w:rPr>
          <w:rFonts w:ascii="Tahoma" w:hAnsi="Tahoma" w:cs="Tahoma"/>
          <w:sz w:val="20"/>
          <w:szCs w:val="20"/>
        </w:rPr>
        <w:t xml:space="preserve"> </w:t>
      </w:r>
      <w:r w:rsidR="007E4341">
        <w:rPr>
          <w:rFonts w:ascii="Tahoma" w:hAnsi="Tahoma" w:cs="Tahoma"/>
          <w:b/>
          <w:sz w:val="20"/>
          <w:szCs w:val="20"/>
        </w:rPr>
        <w:t>per il 3</w:t>
      </w:r>
      <w:r w:rsidR="00BD30E5" w:rsidRPr="007E4341">
        <w:rPr>
          <w:rFonts w:ascii="Tahoma" w:hAnsi="Tahoma" w:cs="Tahoma"/>
          <w:b/>
          <w:sz w:val="20"/>
          <w:szCs w:val="20"/>
        </w:rPr>
        <w:t>3</w:t>
      </w:r>
      <w:r w:rsidRPr="007E4341">
        <w:rPr>
          <w:rFonts w:ascii="Tahoma" w:hAnsi="Tahoma" w:cs="Tahoma"/>
          <w:b/>
          <w:sz w:val="20"/>
          <w:szCs w:val="20"/>
        </w:rPr>
        <w:t>%</w:t>
      </w:r>
      <w:r w:rsidRPr="007E4341">
        <w:rPr>
          <w:rFonts w:ascii="Tahoma" w:hAnsi="Tahoma" w:cs="Tahoma"/>
          <w:sz w:val="20"/>
          <w:szCs w:val="20"/>
        </w:rPr>
        <w:t>.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</w:p>
    <w:p w:rsidR="00BD30E5" w:rsidRDefault="00282524" w:rsidP="00613242">
      <w:pPr>
        <w:jc w:val="both"/>
        <w:rPr>
          <w:rFonts w:ascii="Tahoma" w:hAnsi="Tahoma" w:cs="Tahoma"/>
          <w:color w:val="000000"/>
          <w:sz w:val="20"/>
          <w:szCs w:val="20"/>
          <w:lang w:eastAsia="it-IT"/>
        </w:rPr>
      </w:pPr>
      <w:r w:rsidRPr="00613242">
        <w:rPr>
          <w:rFonts w:ascii="Tahoma" w:hAnsi="Tahoma" w:cs="Tahoma"/>
          <w:sz w:val="20"/>
          <w:szCs w:val="20"/>
        </w:rPr>
        <w:t xml:space="preserve">Nello specifico: </w:t>
      </w:r>
      <w:r w:rsidR="00613242">
        <w:rPr>
          <w:rFonts w:ascii="Tahoma" w:hAnsi="Tahoma" w:cs="Tahoma"/>
          <w:sz w:val="20"/>
          <w:szCs w:val="20"/>
        </w:rPr>
        <w:t>le I</w:t>
      </w:r>
      <w:r w:rsidR="009C0DDF" w:rsidRPr="00613242">
        <w:rPr>
          <w:rFonts w:ascii="Tahoma" w:hAnsi="Tahoma" w:cs="Tahoma"/>
          <w:sz w:val="20"/>
          <w:szCs w:val="20"/>
        </w:rPr>
        <w:t xml:space="preserve">ndustrie meccaniche ed elettroniche prevedono di assumere, in questi primi tre mesi dell’anno, 8.220 operatori (28,2% del totale industria); </w:t>
      </w:r>
      <w:r w:rsidR="00613242">
        <w:rPr>
          <w:rFonts w:ascii="Tahoma" w:hAnsi="Tahoma" w:cs="Tahoma"/>
          <w:sz w:val="20"/>
          <w:szCs w:val="20"/>
        </w:rPr>
        <w:t xml:space="preserve">le </w:t>
      </w:r>
      <w:r w:rsidR="009C0DDF" w:rsidRPr="009C0DDF">
        <w:rPr>
          <w:rFonts w:ascii="Tahoma" w:hAnsi="Tahoma" w:cs="Tahoma"/>
          <w:sz w:val="20"/>
          <w:szCs w:val="20"/>
        </w:rPr>
        <w:t>Industrie metallurgiche e dei prodotti in metallo</w:t>
      </w:r>
      <w:r w:rsidR="009C0DDF" w:rsidRPr="00613242">
        <w:rPr>
          <w:rFonts w:ascii="Tahoma" w:hAnsi="Tahoma" w:cs="Tahoma"/>
          <w:sz w:val="20"/>
          <w:szCs w:val="20"/>
        </w:rPr>
        <w:t xml:space="preserve">  4.850 (16,6%); </w:t>
      </w:r>
      <w:r w:rsidR="00613242">
        <w:rPr>
          <w:rFonts w:ascii="Tahoma" w:hAnsi="Tahoma" w:cs="Tahoma"/>
          <w:sz w:val="20"/>
          <w:szCs w:val="20"/>
        </w:rPr>
        <w:t xml:space="preserve">le </w:t>
      </w:r>
      <w:r w:rsidR="009C0DDF" w:rsidRPr="009C0DDF">
        <w:rPr>
          <w:rFonts w:ascii="Tahoma" w:hAnsi="Tahoma" w:cs="Tahoma"/>
          <w:sz w:val="20"/>
          <w:szCs w:val="20"/>
        </w:rPr>
        <w:t>Industrie alimentari, delle bevande e del tabacco</w:t>
      </w:r>
      <w:r w:rsidR="009C0DDF" w:rsidRPr="00613242">
        <w:rPr>
          <w:rFonts w:ascii="Tahoma" w:hAnsi="Tahoma" w:cs="Tahoma"/>
          <w:sz w:val="20"/>
          <w:szCs w:val="20"/>
        </w:rPr>
        <w:t xml:space="preserve"> 4.220 (14,5%); </w:t>
      </w:r>
      <w:r w:rsidR="00613242">
        <w:rPr>
          <w:rFonts w:ascii="Tahoma" w:hAnsi="Tahoma" w:cs="Tahoma"/>
          <w:sz w:val="20"/>
          <w:szCs w:val="20"/>
        </w:rPr>
        <w:t xml:space="preserve">le </w:t>
      </w:r>
      <w:r w:rsidR="009C0DDF" w:rsidRPr="009C0DDF">
        <w:rPr>
          <w:rFonts w:ascii="Tahoma" w:hAnsi="Tahoma" w:cs="Tahoma"/>
          <w:sz w:val="20"/>
          <w:szCs w:val="20"/>
        </w:rPr>
        <w:t>Industrie tessili, dell'abbigliamento e calzature</w:t>
      </w:r>
      <w:r w:rsidR="009C0DDF" w:rsidRPr="00613242">
        <w:rPr>
          <w:rFonts w:ascii="Tahoma" w:hAnsi="Tahoma" w:cs="Tahoma"/>
          <w:sz w:val="20"/>
          <w:szCs w:val="20"/>
        </w:rPr>
        <w:t xml:space="preserve"> 3.430 (11,8%); </w:t>
      </w:r>
      <w:r w:rsidR="00613242">
        <w:rPr>
          <w:rFonts w:ascii="Tahoma" w:hAnsi="Tahoma" w:cs="Tahoma"/>
          <w:sz w:val="20"/>
          <w:szCs w:val="20"/>
        </w:rPr>
        <w:t xml:space="preserve">le </w:t>
      </w:r>
      <w:r w:rsidR="00613242" w:rsidRPr="009C0DDF">
        <w:rPr>
          <w:rFonts w:ascii="Tahoma" w:hAnsi="Tahoma" w:cs="Tahoma"/>
          <w:color w:val="000000"/>
          <w:sz w:val="20"/>
          <w:szCs w:val="20"/>
          <w:lang w:eastAsia="it-IT"/>
        </w:rPr>
        <w:t>Industrie chimico-farmaceutiche, della plastica e della gomma</w:t>
      </w:r>
      <w:r w:rsidR="00613242" w:rsidRP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 2.630 (9%); </w:t>
      </w:r>
      <w:r w:rsid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le </w:t>
      </w:r>
      <w:r w:rsidR="00613242" w:rsidRPr="009C0DDF">
        <w:rPr>
          <w:rFonts w:ascii="Tahoma" w:hAnsi="Tahoma" w:cs="Tahoma"/>
          <w:color w:val="000000"/>
          <w:sz w:val="20"/>
          <w:szCs w:val="20"/>
          <w:lang w:eastAsia="it-IT"/>
        </w:rPr>
        <w:t>Industrie del legno e del mobile</w:t>
      </w:r>
      <w:r w:rsidR="00613242" w:rsidRP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 1.080 (3,7%); </w:t>
      </w:r>
      <w:r w:rsid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le </w:t>
      </w:r>
      <w:r w:rsidR="00613242" w:rsidRPr="009C0DDF">
        <w:rPr>
          <w:rFonts w:ascii="Tahoma" w:hAnsi="Tahoma" w:cs="Tahoma"/>
          <w:color w:val="000000"/>
          <w:sz w:val="20"/>
          <w:szCs w:val="20"/>
          <w:lang w:eastAsia="it-IT"/>
        </w:rPr>
        <w:t xml:space="preserve">Industrie </w:t>
      </w:r>
      <w:r w:rsidR="006B5147">
        <w:rPr>
          <w:rFonts w:ascii="Tahoma" w:hAnsi="Tahoma" w:cs="Tahoma"/>
          <w:color w:val="000000"/>
          <w:sz w:val="20"/>
          <w:szCs w:val="20"/>
          <w:lang w:eastAsia="it-IT"/>
        </w:rPr>
        <w:t xml:space="preserve">della </w:t>
      </w:r>
      <w:r w:rsidR="00613242" w:rsidRPr="009C0DDF">
        <w:rPr>
          <w:rFonts w:ascii="Tahoma" w:hAnsi="Tahoma" w:cs="Tahoma"/>
          <w:color w:val="000000"/>
          <w:sz w:val="20"/>
          <w:szCs w:val="20"/>
          <w:lang w:eastAsia="it-IT"/>
        </w:rPr>
        <w:t>lavorazione dei minerali non metalliferi ed estrattive</w:t>
      </w:r>
      <w:r w:rsidR="00613242" w:rsidRP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 800 (2,7%); </w:t>
      </w:r>
      <w:r w:rsid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le </w:t>
      </w:r>
      <w:r w:rsidR="00613242" w:rsidRPr="009C0DDF">
        <w:rPr>
          <w:rFonts w:ascii="Tahoma" w:hAnsi="Tahoma" w:cs="Tahoma"/>
          <w:color w:val="000000"/>
          <w:sz w:val="20"/>
          <w:szCs w:val="20"/>
          <w:lang w:eastAsia="it-IT"/>
        </w:rPr>
        <w:t>Industrie della carta, cartotecnica e stampa</w:t>
      </w:r>
      <w:r w:rsidR="00613242" w:rsidRPr="00613242">
        <w:rPr>
          <w:rFonts w:ascii="Tahoma" w:hAnsi="Tahoma" w:cs="Tahoma"/>
          <w:color w:val="000000"/>
          <w:sz w:val="20"/>
          <w:szCs w:val="20"/>
          <w:lang w:eastAsia="it-IT"/>
        </w:rPr>
        <w:t xml:space="preserve"> 700 (2,4%); le altre industrie 3.210 (11%).</w:t>
      </w:r>
    </w:p>
    <w:p w:rsidR="006B5147" w:rsidRDefault="006B5147" w:rsidP="00613242">
      <w:pPr>
        <w:jc w:val="both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716D91" w:rsidRDefault="00590A31" w:rsidP="00590A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profili più ricercati</w:t>
      </w:r>
      <w:r w:rsidRPr="00F74A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sono quelli</w:t>
      </w:r>
      <w:r w:rsidRPr="00F74A26">
        <w:rPr>
          <w:rFonts w:ascii="Tahoma" w:hAnsi="Tahoma" w:cs="Tahoma"/>
          <w:sz w:val="20"/>
          <w:szCs w:val="20"/>
        </w:rPr>
        <w:t xml:space="preserve"> di </w:t>
      </w:r>
      <w:r w:rsidRPr="00FC7A1A">
        <w:rPr>
          <w:rFonts w:ascii="Tahoma" w:hAnsi="Tahoma" w:cs="Tahoma"/>
          <w:b/>
          <w:sz w:val="20"/>
          <w:szCs w:val="20"/>
        </w:rPr>
        <w:t>operai specializzati</w:t>
      </w:r>
      <w:r w:rsidRPr="00FC7A1A">
        <w:rPr>
          <w:rFonts w:ascii="Tahoma" w:hAnsi="Tahoma" w:cs="Tahoma"/>
          <w:sz w:val="20"/>
          <w:szCs w:val="20"/>
        </w:rPr>
        <w:t xml:space="preserve"> (</w:t>
      </w:r>
      <w:r w:rsidRPr="00FC7A1A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="006B5147">
        <w:rPr>
          <w:rFonts w:ascii="Tahoma" w:eastAsia="Arial Unicode MS" w:hAnsi="Tahoma" w:cs="Tahoma"/>
          <w:color w:val="000000"/>
          <w:sz w:val="20"/>
          <w:szCs w:val="20"/>
        </w:rPr>
        <w:t>0</w:t>
      </w:r>
      <w:r w:rsidRPr="00FC7A1A">
        <w:rPr>
          <w:rFonts w:ascii="Tahoma" w:hAnsi="Tahoma" w:cs="Tahoma"/>
          <w:sz w:val="20"/>
          <w:szCs w:val="20"/>
        </w:rPr>
        <w:t xml:space="preserve">%) e di </w:t>
      </w:r>
      <w:r w:rsidRPr="00FC7A1A">
        <w:rPr>
          <w:rFonts w:ascii="Tahoma" w:hAnsi="Tahoma" w:cs="Tahoma"/>
          <w:b/>
          <w:sz w:val="20"/>
          <w:szCs w:val="20"/>
        </w:rPr>
        <w:t>conduttori di impianti e macchinari</w:t>
      </w:r>
      <w:r w:rsidR="006B5147">
        <w:rPr>
          <w:rFonts w:ascii="Tahoma" w:hAnsi="Tahoma" w:cs="Tahoma"/>
          <w:sz w:val="20"/>
          <w:szCs w:val="20"/>
        </w:rPr>
        <w:t xml:space="preserve"> (26</w:t>
      </w:r>
      <w:r w:rsidRPr="00FC7A1A">
        <w:rPr>
          <w:rFonts w:ascii="Tahoma" w:hAnsi="Tahoma" w:cs="Tahoma"/>
          <w:sz w:val="20"/>
          <w:szCs w:val="20"/>
        </w:rPr>
        <w:t xml:space="preserve">%); </w:t>
      </w:r>
      <w:r w:rsidR="006B5147">
        <w:rPr>
          <w:rFonts w:ascii="Tahoma" w:hAnsi="Tahoma" w:cs="Tahoma"/>
          <w:sz w:val="20"/>
          <w:szCs w:val="20"/>
        </w:rPr>
        <w:t>il 60</w:t>
      </w:r>
      <w:r w:rsidRPr="00F74A26">
        <w:rPr>
          <w:rFonts w:ascii="Tahoma" w:hAnsi="Tahoma" w:cs="Tahoma"/>
          <w:sz w:val="20"/>
          <w:szCs w:val="20"/>
        </w:rPr>
        <w:t xml:space="preserve">% richiede in generale esperienza specifica </w:t>
      </w:r>
      <w:r>
        <w:rPr>
          <w:rFonts w:ascii="Tahoma" w:hAnsi="Tahoma" w:cs="Tahoma"/>
          <w:sz w:val="20"/>
          <w:szCs w:val="20"/>
        </w:rPr>
        <w:t>e</w:t>
      </w:r>
      <w:r w:rsidRPr="00F74A26">
        <w:rPr>
          <w:rFonts w:ascii="Tahoma" w:hAnsi="Tahoma" w:cs="Tahoma"/>
          <w:sz w:val="20"/>
          <w:szCs w:val="20"/>
        </w:rPr>
        <w:t xml:space="preserve"> </w:t>
      </w:r>
      <w:r w:rsidR="006B5147">
        <w:rPr>
          <w:rFonts w:ascii="Tahoma" w:hAnsi="Tahoma" w:cs="Tahoma"/>
          <w:sz w:val="20"/>
          <w:szCs w:val="20"/>
        </w:rPr>
        <w:t>sul fronte dell’istruzione il 73,2</w:t>
      </w:r>
      <w:r w:rsidRPr="00F74A26">
        <w:rPr>
          <w:rFonts w:ascii="Tahoma" w:hAnsi="Tahoma" w:cs="Tahoma"/>
          <w:sz w:val="20"/>
          <w:szCs w:val="20"/>
        </w:rPr>
        <w:t xml:space="preserve">% gradisce il </w:t>
      </w:r>
      <w:r>
        <w:rPr>
          <w:rFonts w:ascii="Tahoma" w:hAnsi="Tahoma" w:cs="Tahoma"/>
          <w:sz w:val="20"/>
          <w:szCs w:val="20"/>
        </w:rPr>
        <w:t>titolo di studio, con particolare preferenza per il d</w:t>
      </w:r>
      <w:r w:rsidR="006B5147">
        <w:rPr>
          <w:rFonts w:ascii="Tahoma" w:hAnsi="Tahoma" w:cs="Tahoma"/>
          <w:sz w:val="20"/>
          <w:szCs w:val="20"/>
        </w:rPr>
        <w:t>iploma. Se per il 41,4</w:t>
      </w:r>
      <w:r>
        <w:rPr>
          <w:rFonts w:ascii="Tahoma" w:hAnsi="Tahoma" w:cs="Tahoma"/>
          <w:sz w:val="20"/>
          <w:szCs w:val="20"/>
        </w:rPr>
        <w:t xml:space="preserve">% il sesso del candidato è indifferente, </w:t>
      </w:r>
      <w:r w:rsidR="006B5147">
        <w:rPr>
          <w:rFonts w:ascii="Tahoma" w:hAnsi="Tahoma" w:cs="Tahoma"/>
          <w:sz w:val="20"/>
          <w:szCs w:val="20"/>
        </w:rPr>
        <w:t>ben il 46</w:t>
      </w:r>
      <w:r>
        <w:rPr>
          <w:rFonts w:ascii="Tahoma" w:hAnsi="Tahoma" w:cs="Tahoma"/>
          <w:sz w:val="20"/>
          <w:szCs w:val="20"/>
        </w:rPr>
        <w:t xml:space="preserve">% preferisce comunque il genere maschile. </w:t>
      </w:r>
    </w:p>
    <w:p w:rsidR="008B1834" w:rsidRDefault="008B1834" w:rsidP="00590A31">
      <w:pPr>
        <w:jc w:val="both"/>
        <w:rPr>
          <w:rFonts w:ascii="Tahoma" w:hAnsi="Tahoma" w:cs="Tahoma"/>
          <w:sz w:val="20"/>
          <w:szCs w:val="20"/>
        </w:rPr>
      </w:pPr>
    </w:p>
    <w:p w:rsidR="008B1834" w:rsidRDefault="008B1834" w:rsidP="00590A31">
      <w:pPr>
        <w:jc w:val="both"/>
        <w:rPr>
          <w:rFonts w:ascii="Tahoma" w:hAnsi="Tahoma" w:cs="Tahoma"/>
          <w:sz w:val="20"/>
          <w:szCs w:val="20"/>
        </w:rPr>
      </w:pPr>
    </w:p>
    <w:p w:rsidR="00F340B3" w:rsidRPr="00F340B3" w:rsidRDefault="00F340B3" w:rsidP="00F340B3">
      <w:pPr>
        <w:jc w:val="both"/>
        <w:rPr>
          <w:rFonts w:ascii="Tahoma" w:hAnsi="Tahoma" w:cs="Tahoma"/>
          <w:sz w:val="16"/>
          <w:szCs w:val="16"/>
        </w:rPr>
      </w:pPr>
      <w:r w:rsidRPr="00F340B3">
        <w:rPr>
          <w:rFonts w:ascii="Tahoma" w:hAnsi="Tahoma" w:cs="Tahoma"/>
          <w:sz w:val="16"/>
          <w:szCs w:val="16"/>
        </w:rPr>
        <w:t xml:space="preserve">* Il dato si riferisce esclusivamente alle previsioni di assunzione di “lavoratori dipendenti” ed esclude le altre forme come i contratti in somministrazione (interinali), a progetto e altre modalità di lavoro indipendente. </w:t>
      </w:r>
    </w:p>
    <w:p w:rsidR="00F340B3" w:rsidRDefault="00F340B3" w:rsidP="00590A31">
      <w:pPr>
        <w:jc w:val="both"/>
        <w:rPr>
          <w:rFonts w:ascii="Tahoma" w:hAnsi="Tahoma" w:cs="Tahoma"/>
          <w:sz w:val="20"/>
          <w:szCs w:val="20"/>
        </w:rPr>
      </w:pPr>
    </w:p>
    <w:p w:rsidR="00F340B3" w:rsidRDefault="00F340B3" w:rsidP="00590A31">
      <w:pPr>
        <w:jc w:val="both"/>
        <w:rPr>
          <w:rFonts w:ascii="Tahoma" w:hAnsi="Tahoma" w:cs="Tahoma"/>
          <w:sz w:val="20"/>
          <w:szCs w:val="20"/>
        </w:rPr>
      </w:pPr>
    </w:p>
    <w:p w:rsidR="00F340B3" w:rsidRDefault="00F340B3" w:rsidP="00590A31">
      <w:pPr>
        <w:jc w:val="both"/>
        <w:rPr>
          <w:rFonts w:ascii="Tahoma" w:hAnsi="Tahoma" w:cs="Tahoma"/>
          <w:sz w:val="20"/>
          <w:szCs w:val="20"/>
        </w:rPr>
      </w:pPr>
    </w:p>
    <w:p w:rsidR="008B1834" w:rsidRPr="003B615E" w:rsidRDefault="008B1834" w:rsidP="008B1834">
      <w:pPr>
        <w:jc w:val="both"/>
        <w:rPr>
          <w:rFonts w:ascii="Tahoma" w:hAnsi="Tahoma" w:cs="Tahoma"/>
          <w:sz w:val="20"/>
          <w:szCs w:val="20"/>
        </w:rPr>
      </w:pPr>
      <w:r w:rsidRPr="003B615E">
        <w:rPr>
          <w:rFonts w:ascii="Tahoma" w:hAnsi="Tahoma" w:cs="Tahoma"/>
          <w:b/>
          <w:sz w:val="20"/>
          <w:szCs w:val="20"/>
          <w:u w:val="single"/>
        </w:rPr>
        <w:t>Nota metodologica:</w:t>
      </w:r>
      <w:r w:rsidRPr="003B615E">
        <w:rPr>
          <w:rFonts w:ascii="Tahoma" w:hAnsi="Tahoma" w:cs="Tahoma"/>
          <w:sz w:val="20"/>
          <w:szCs w:val="20"/>
        </w:rPr>
        <w:t xml:space="preserve"> l’indagine è stata condotta da </w:t>
      </w:r>
      <w:r w:rsidRPr="003B615E">
        <w:rPr>
          <w:rFonts w:ascii="Tahoma" w:hAnsi="Tahoma" w:cs="Tahoma"/>
          <w:b/>
          <w:sz w:val="20"/>
          <w:szCs w:val="20"/>
        </w:rPr>
        <w:t>GRS Ricerca e Strategia</w:t>
      </w:r>
      <w:r w:rsidRPr="003B615E">
        <w:rPr>
          <w:rFonts w:ascii="Tahoma" w:hAnsi="Tahoma" w:cs="Tahoma"/>
          <w:sz w:val="20"/>
          <w:szCs w:val="20"/>
        </w:rPr>
        <w:t xml:space="preserve"> su un campione di aziende della meccanica e della subfornitura utilizzando i metodi CAWI (Computer </w:t>
      </w:r>
      <w:proofErr w:type="spellStart"/>
      <w:r w:rsidRPr="003B615E">
        <w:rPr>
          <w:rFonts w:ascii="Tahoma" w:hAnsi="Tahoma" w:cs="Tahoma"/>
          <w:sz w:val="20"/>
          <w:szCs w:val="20"/>
        </w:rPr>
        <w:t>Assisted</w:t>
      </w:r>
      <w:proofErr w:type="spellEnd"/>
      <w:r w:rsidRPr="003B615E">
        <w:rPr>
          <w:rFonts w:ascii="Tahoma" w:hAnsi="Tahoma" w:cs="Tahoma"/>
          <w:sz w:val="20"/>
          <w:szCs w:val="20"/>
        </w:rPr>
        <w:t xml:space="preserve"> Web </w:t>
      </w:r>
      <w:proofErr w:type="spellStart"/>
      <w:r w:rsidRPr="003B615E">
        <w:rPr>
          <w:rFonts w:ascii="Tahoma" w:hAnsi="Tahoma" w:cs="Tahoma"/>
          <w:sz w:val="20"/>
          <w:szCs w:val="20"/>
        </w:rPr>
        <w:t>Interviewing</w:t>
      </w:r>
      <w:proofErr w:type="spellEnd"/>
      <w:r w:rsidRPr="003B615E">
        <w:rPr>
          <w:rFonts w:ascii="Tahoma" w:hAnsi="Tahoma" w:cs="Tahoma"/>
          <w:sz w:val="20"/>
          <w:szCs w:val="20"/>
        </w:rPr>
        <w:t xml:space="preserve">) e CATI (Computer </w:t>
      </w:r>
      <w:proofErr w:type="spellStart"/>
      <w:r w:rsidRPr="003B615E">
        <w:rPr>
          <w:rFonts w:ascii="Tahoma" w:hAnsi="Tahoma" w:cs="Tahoma"/>
          <w:sz w:val="20"/>
          <w:szCs w:val="20"/>
        </w:rPr>
        <w:t>Assisted</w:t>
      </w:r>
      <w:proofErr w:type="spellEnd"/>
      <w:r w:rsidRPr="003B61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615E">
        <w:rPr>
          <w:rFonts w:ascii="Tahoma" w:hAnsi="Tahoma" w:cs="Tahoma"/>
          <w:sz w:val="20"/>
          <w:szCs w:val="20"/>
        </w:rPr>
        <w:t>Telephone</w:t>
      </w:r>
      <w:proofErr w:type="spellEnd"/>
      <w:r w:rsidRPr="003B61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615E">
        <w:rPr>
          <w:rFonts w:ascii="Tahoma" w:hAnsi="Tahoma" w:cs="Tahoma"/>
          <w:sz w:val="20"/>
          <w:szCs w:val="20"/>
        </w:rPr>
        <w:t>Interviewing</w:t>
      </w:r>
      <w:proofErr w:type="spellEnd"/>
      <w:r w:rsidRPr="003B615E">
        <w:rPr>
          <w:rFonts w:ascii="Tahoma" w:hAnsi="Tahoma" w:cs="Tahoma"/>
          <w:sz w:val="20"/>
          <w:szCs w:val="20"/>
        </w:rPr>
        <w:t xml:space="preserve">). Sono state raccolte </w:t>
      </w:r>
      <w:r w:rsidRPr="003B615E">
        <w:rPr>
          <w:rFonts w:ascii="Tahoma" w:hAnsi="Tahoma" w:cs="Tahoma"/>
          <w:b/>
          <w:sz w:val="20"/>
          <w:szCs w:val="20"/>
        </w:rPr>
        <w:t>400 risposte</w:t>
      </w:r>
      <w:r w:rsidRPr="003B615E">
        <w:rPr>
          <w:rFonts w:ascii="Tahoma" w:hAnsi="Tahoma" w:cs="Tahoma"/>
          <w:sz w:val="20"/>
          <w:szCs w:val="20"/>
        </w:rPr>
        <w:t>, un campione casuale, statisticamente significativo, caratterizzato da una distribuzione territoriale allineata a quella dell’universo di partenza. L’indagine si è svolta nel corso dei mesi di gennaio e febbraio 2015.</w:t>
      </w:r>
    </w:p>
    <w:p w:rsidR="008B1834" w:rsidRDefault="008B1834" w:rsidP="008B1834">
      <w:pPr>
        <w:tabs>
          <w:tab w:val="left" w:pos="6589"/>
        </w:tabs>
        <w:jc w:val="both"/>
        <w:rPr>
          <w:rFonts w:ascii="Tahoma" w:hAnsi="Tahoma" w:cs="Tahoma"/>
          <w:b/>
          <w:sz w:val="20"/>
          <w:szCs w:val="20"/>
        </w:rPr>
      </w:pPr>
    </w:p>
    <w:p w:rsidR="00E820F8" w:rsidRPr="003B615E" w:rsidRDefault="00E820F8" w:rsidP="008B1834">
      <w:pPr>
        <w:tabs>
          <w:tab w:val="left" w:pos="6589"/>
        </w:tabs>
        <w:jc w:val="both"/>
        <w:rPr>
          <w:rFonts w:ascii="Tahoma" w:hAnsi="Tahoma" w:cs="Tahoma"/>
          <w:b/>
          <w:sz w:val="20"/>
          <w:szCs w:val="20"/>
        </w:rPr>
      </w:pPr>
    </w:p>
    <w:p w:rsidR="008B1834" w:rsidRPr="003B615E" w:rsidRDefault="008B1834" w:rsidP="008B1834">
      <w:pPr>
        <w:suppressAutoHyphens w:val="0"/>
        <w:rPr>
          <w:rFonts w:ascii="Tahoma" w:hAnsi="Tahoma" w:cs="Tahoma"/>
          <w:b/>
          <w:sz w:val="20"/>
          <w:szCs w:val="20"/>
        </w:rPr>
      </w:pPr>
      <w:r w:rsidRPr="003B615E">
        <w:rPr>
          <w:rFonts w:ascii="Tahoma" w:hAnsi="Tahoma" w:cs="Tahoma"/>
          <w:b/>
          <w:sz w:val="20"/>
          <w:szCs w:val="20"/>
        </w:rPr>
        <w:t>I numeri di MECSPE</w:t>
      </w:r>
    </w:p>
    <w:p w:rsidR="001021DC" w:rsidRPr="00450F59" w:rsidRDefault="001021DC" w:rsidP="001021DC">
      <w:pPr>
        <w:pStyle w:val="NormaleWeb"/>
        <w:shd w:val="clear" w:color="auto" w:fill="FFFFFF"/>
        <w:spacing w:before="0" w:after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Nei padiglioni di Fiere di Parma, dal 26 al 28 marzo 2015, si potranno trovare 1.229 espositori, 31 isole di lavorazione, 15 quartieri tematici, 9 saloni tematici, 10 piazze d’eccellenza, 103 tra convegni e miniconferenze organizzati da aziende, università e istituti di ricerca.</w:t>
      </w:r>
      <w:r>
        <w:rPr>
          <w:rStyle w:val="Enfasigrassetto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>Ingresso gratuito per gli operatori del settore</w:t>
      </w:r>
      <w:r>
        <w:rPr>
          <w:rFonts w:ascii="Tahoma" w:hAnsi="Tahoma" w:cs="Tahoma"/>
          <w:sz w:val="20"/>
          <w:szCs w:val="20"/>
        </w:rPr>
        <w:t xml:space="preserve">. Per ricevere la tessera personale che consente l’accesso all’area espositiva, ai convegni e alle iniziative speciali di MECSPE 2015 è necessario registrarsi al sito </w:t>
      </w:r>
      <w:hyperlink r:id="rId8" w:history="1">
        <w:r>
          <w:rPr>
            <w:rStyle w:val="Collegamentoipertestuale"/>
            <w:rFonts w:ascii="Tahoma" w:hAnsi="Tahoma" w:cs="Tahoma"/>
            <w:sz w:val="20"/>
            <w:szCs w:val="20"/>
          </w:rPr>
          <w:t>www.mecspe.com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8B1834" w:rsidRPr="003B615E" w:rsidRDefault="008B1834" w:rsidP="008B1834">
      <w:pPr>
        <w:jc w:val="both"/>
        <w:rPr>
          <w:rFonts w:ascii="Tahoma" w:hAnsi="Tahoma" w:cs="Tahoma"/>
          <w:sz w:val="20"/>
          <w:szCs w:val="20"/>
        </w:rPr>
      </w:pPr>
    </w:p>
    <w:p w:rsidR="008B1834" w:rsidRPr="003B615E" w:rsidRDefault="008B1834" w:rsidP="008B1834">
      <w:pPr>
        <w:jc w:val="both"/>
        <w:rPr>
          <w:rFonts w:ascii="Tahoma" w:hAnsi="Tahoma" w:cs="Tahoma"/>
          <w:b/>
          <w:sz w:val="20"/>
          <w:szCs w:val="20"/>
        </w:rPr>
      </w:pPr>
    </w:p>
    <w:p w:rsidR="008B1834" w:rsidRDefault="008B1834" w:rsidP="008B1834">
      <w:pPr>
        <w:jc w:val="both"/>
        <w:rPr>
          <w:b/>
          <w:sz w:val="20"/>
        </w:rPr>
      </w:pPr>
      <w:r>
        <w:rPr>
          <w:rFonts w:ascii="Tahoma" w:hAnsi="Tahoma" w:cs="Tahoma"/>
          <w:b/>
          <w:sz w:val="20"/>
          <w:szCs w:val="20"/>
        </w:rPr>
        <w:t>Per ulteriori informazioni</w:t>
      </w:r>
    </w:p>
    <w:p w:rsidR="008B1834" w:rsidRDefault="008B1834" w:rsidP="008B1834">
      <w:pPr>
        <w:pStyle w:val="Corpodeltesto21"/>
        <w:jc w:val="both"/>
        <w:rPr>
          <w:sz w:val="20"/>
        </w:rPr>
      </w:pPr>
      <w:r>
        <w:rPr>
          <w:b/>
          <w:sz w:val="20"/>
        </w:rPr>
        <w:t>MY PR</w:t>
      </w:r>
    </w:p>
    <w:p w:rsidR="008B1834" w:rsidRDefault="008B1834" w:rsidP="008B1834">
      <w:pPr>
        <w:pStyle w:val="Corpodeltesto21"/>
        <w:jc w:val="both"/>
        <w:rPr>
          <w:sz w:val="20"/>
        </w:rPr>
      </w:pPr>
      <w:r>
        <w:rPr>
          <w:sz w:val="20"/>
        </w:rPr>
        <w:t>Roberto Grattagliano – Paola Gianderico</w:t>
      </w:r>
    </w:p>
    <w:p w:rsidR="008B1834" w:rsidRDefault="008B1834" w:rsidP="008B1834">
      <w:pPr>
        <w:pStyle w:val="Corpodeltesto21"/>
        <w:jc w:val="both"/>
        <w:rPr>
          <w:sz w:val="20"/>
          <w:lang w:val="en-GB"/>
        </w:rPr>
      </w:pPr>
      <w:proofErr w:type="spellStart"/>
      <w:r>
        <w:rPr>
          <w:sz w:val="20"/>
          <w:lang w:val="en-GB"/>
        </w:rPr>
        <w:t>tel</w:t>
      </w:r>
      <w:proofErr w:type="spellEnd"/>
      <w:r>
        <w:rPr>
          <w:sz w:val="20"/>
          <w:lang w:val="en-GB"/>
        </w:rPr>
        <w:t>_ 02-54123452 fax_ 02-54090230</w:t>
      </w:r>
    </w:p>
    <w:p w:rsidR="008B1834" w:rsidRDefault="008B1834" w:rsidP="008B1834">
      <w:pPr>
        <w:pStyle w:val="Corpodeltesto21"/>
        <w:jc w:val="both"/>
        <w:rPr>
          <w:sz w:val="20"/>
          <w:lang w:val="en-GB"/>
        </w:rPr>
      </w:pPr>
      <w:r>
        <w:rPr>
          <w:sz w:val="20"/>
          <w:lang w:val="en-GB"/>
        </w:rPr>
        <w:t>e-mail_</w:t>
      </w:r>
      <w:hyperlink r:id="rId9" w:history="1">
        <w:r>
          <w:rPr>
            <w:rStyle w:val="Collegamentoipertestuale"/>
            <w:sz w:val="20"/>
            <w:lang w:val="en-US"/>
          </w:rPr>
          <w:t>roberto.grattagliano@mypr.it</w:t>
        </w:r>
      </w:hyperlink>
      <w:r>
        <w:rPr>
          <w:sz w:val="20"/>
          <w:lang w:val="en-GB"/>
        </w:rPr>
        <w:t xml:space="preserve"> – </w:t>
      </w:r>
      <w:r>
        <w:rPr>
          <w:rStyle w:val="Collegamentoipertestuale"/>
          <w:sz w:val="20"/>
          <w:lang w:val="en-US"/>
        </w:rPr>
        <w:t>paola.gianderico</w:t>
      </w:r>
      <w:hyperlink r:id="rId10" w:history="1">
        <w:r>
          <w:rPr>
            <w:rStyle w:val="Collegamentoipertestuale"/>
            <w:sz w:val="20"/>
            <w:lang w:val="en-US"/>
          </w:rPr>
          <w:t>@mypr.i</w:t>
        </w:r>
      </w:hyperlink>
      <w:r>
        <w:rPr>
          <w:rStyle w:val="Collegamentoipertestuale"/>
          <w:sz w:val="20"/>
          <w:lang w:val="en-US"/>
        </w:rPr>
        <w:t>t</w:t>
      </w:r>
    </w:p>
    <w:p w:rsidR="008B1834" w:rsidRPr="000B59D2" w:rsidRDefault="008B1834" w:rsidP="008B1834">
      <w:pPr>
        <w:pStyle w:val="Corpodeltesto21"/>
        <w:jc w:val="both"/>
        <w:rPr>
          <w:sz w:val="18"/>
          <w:szCs w:val="18"/>
        </w:rPr>
      </w:pPr>
      <w:r w:rsidRPr="000B59D2">
        <w:rPr>
          <w:sz w:val="20"/>
        </w:rPr>
        <w:t>www_</w:t>
      </w:r>
      <w:hyperlink r:id="rId11" w:history="1">
        <w:r w:rsidRPr="000B59D2">
          <w:rPr>
            <w:rStyle w:val="Collegamentoipertestuale"/>
            <w:sz w:val="20"/>
          </w:rPr>
          <w:t>www.mypr.it</w:t>
        </w:r>
      </w:hyperlink>
    </w:p>
    <w:p w:rsidR="008B1834" w:rsidRPr="003B615E" w:rsidRDefault="008B1834" w:rsidP="008B1834">
      <w:pPr>
        <w:jc w:val="both"/>
        <w:rPr>
          <w:sz w:val="18"/>
          <w:szCs w:val="18"/>
        </w:rPr>
      </w:pPr>
    </w:p>
    <w:p w:rsidR="008B1834" w:rsidRPr="003B615E" w:rsidRDefault="008B1834" w:rsidP="008B1834">
      <w:pPr>
        <w:jc w:val="both"/>
        <w:rPr>
          <w:sz w:val="18"/>
          <w:szCs w:val="18"/>
        </w:rPr>
      </w:pPr>
    </w:p>
    <w:p w:rsidR="008B1834" w:rsidRDefault="008B1834" w:rsidP="00590A31">
      <w:pPr>
        <w:jc w:val="both"/>
        <w:rPr>
          <w:rFonts w:ascii="Tahoma" w:hAnsi="Tahoma" w:cs="Tahoma"/>
          <w:sz w:val="20"/>
          <w:szCs w:val="20"/>
        </w:rPr>
      </w:pPr>
    </w:p>
    <w:p w:rsidR="008B1834" w:rsidRDefault="008B1834" w:rsidP="00590A3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716D91" w:rsidP="00716D91">
      <w:pPr>
        <w:suppressAutoHyphens w:val="0"/>
        <w:jc w:val="center"/>
        <w:rPr>
          <w:sz w:val="18"/>
          <w:szCs w:val="18"/>
        </w:rPr>
      </w:pPr>
    </w:p>
    <w:p w:rsidR="00D5241C" w:rsidRDefault="00D5241C" w:rsidP="00716D91">
      <w:pPr>
        <w:suppressAutoHyphens w:val="0"/>
        <w:jc w:val="center"/>
        <w:rPr>
          <w:rFonts w:ascii="Tahoma" w:hAnsi="Tahoma" w:cs="Tahoma"/>
          <w:b/>
          <w:sz w:val="20"/>
          <w:szCs w:val="20"/>
        </w:rPr>
      </w:pPr>
    </w:p>
    <w:p w:rsidR="00716D91" w:rsidRDefault="00716D91" w:rsidP="00716D91">
      <w:pPr>
        <w:suppressAutoHyphens w:val="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GRAFICI - OSSERVATORIO MECSPE FOCUS ITALIA</w:t>
      </w:r>
    </w:p>
    <w:p w:rsidR="00716D91" w:rsidRDefault="00716D91" w:rsidP="00716D91">
      <w:pPr>
        <w:jc w:val="center"/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(Fonte: ricerca </w:t>
      </w:r>
      <w:r>
        <w:rPr>
          <w:rFonts w:ascii="Tahoma" w:hAnsi="Tahoma" w:cs="Tahoma"/>
          <w:b/>
          <w:sz w:val="18"/>
          <w:szCs w:val="18"/>
        </w:rPr>
        <w:t xml:space="preserve">condotta da </w:t>
      </w:r>
      <w:r>
        <w:rPr>
          <w:rFonts w:ascii="Tahoma" w:hAnsi="Tahoma" w:cs="Tahoma"/>
          <w:b/>
          <w:bCs/>
          <w:sz w:val="18"/>
          <w:szCs w:val="18"/>
        </w:rPr>
        <w:t>GRS Ricerca e Strategia per MECSPE)</w:t>
      </w:r>
    </w:p>
    <w:p w:rsidR="00716D91" w:rsidRDefault="00716D91" w:rsidP="00716D91">
      <w:pPr>
        <w:jc w:val="both"/>
        <w:rPr>
          <w:rFonts w:ascii="Tahoma" w:hAnsi="Tahoma" w:cs="Tahoma"/>
          <w:b/>
          <w:sz w:val="20"/>
          <w:szCs w:val="20"/>
        </w:rPr>
      </w:pPr>
    </w:p>
    <w:p w:rsidR="00716D91" w:rsidRDefault="00266A33" w:rsidP="00716D91">
      <w:pPr>
        <w:jc w:val="both"/>
        <w:rPr>
          <w:rFonts w:ascii="Tahoma" w:hAnsi="Tahoma" w:cs="Tahoma"/>
          <w:b/>
          <w:sz w:val="20"/>
          <w:szCs w:val="20"/>
        </w:rPr>
      </w:pPr>
      <w:r w:rsidRPr="00266A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2.25pt;margin-top:3.4pt;width:198.4pt;height:20.3pt;z-index:251661312;mso-wrap-distance-left:9.05pt;mso-wrap-distance-right:9.05pt" stroked="f">
            <v:fill color2="black"/>
            <v:textbox inset="0,0,0,0">
              <w:txbxContent>
                <w:p w:rsidR="003808DD" w:rsidRDefault="003808DD" w:rsidP="00716D91">
                  <w:pPr>
                    <w:rPr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Variazione HR 2015 (Previsione)</w:t>
                  </w:r>
                </w:p>
                <w:p w:rsidR="003808DD" w:rsidRDefault="003808DD" w:rsidP="00716D9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Pr="00266A33">
        <w:pict>
          <v:shape id="_x0000_s1028" type="#_x0000_t202" style="position:absolute;left:0;text-align:left;margin-left:22.9pt;margin-top:3.4pt;width:175.85pt;height:20.95pt;z-index:251662336;mso-wrap-distance-left:9.05pt;mso-wrap-distance-right:9.05pt" stroked="f">
            <v:fill color2="black"/>
            <v:textbox inset="0,0,0,0">
              <w:txbxContent>
                <w:p w:rsidR="003808DD" w:rsidRDefault="003808DD" w:rsidP="00716D91"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Variazione HR chiusura 2014 rispetto al 2011</w:t>
                  </w:r>
                </w:p>
              </w:txbxContent>
            </v:textbox>
          </v:shape>
        </w:pict>
      </w:r>
    </w:p>
    <w:p w:rsidR="00716D91" w:rsidRDefault="00716D91" w:rsidP="00716D9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D5241C" w:rsidP="00716D91">
      <w:pPr>
        <w:jc w:val="both"/>
        <w:rPr>
          <w:rFonts w:ascii="Tahoma" w:hAnsi="Tahoma" w:cs="Tahoma"/>
          <w:sz w:val="20"/>
          <w:szCs w:val="20"/>
          <w:lang w:eastAsia="it-IT"/>
        </w:rPr>
      </w:pPr>
      <w:r>
        <w:rPr>
          <w:rFonts w:ascii="Tahoma" w:hAnsi="Tahoma" w:cs="Tahoma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3147695</wp:posOffset>
            </wp:positionH>
            <wp:positionV relativeFrom="margin">
              <wp:posOffset>1125855</wp:posOffset>
            </wp:positionV>
            <wp:extent cx="2968625" cy="2378075"/>
            <wp:effectExtent l="19050" t="0" r="3175" b="0"/>
            <wp:wrapSquare wrapText="bothSides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D91" w:rsidRDefault="00D5241C" w:rsidP="00716D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-435610</wp:posOffset>
            </wp:positionH>
            <wp:positionV relativeFrom="margin">
              <wp:posOffset>1210945</wp:posOffset>
            </wp:positionV>
            <wp:extent cx="2866390" cy="2296795"/>
            <wp:effectExtent l="1905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D91" w:rsidRDefault="00716D91" w:rsidP="00716D9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716D91" w:rsidP="00716D9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716D91" w:rsidP="00716D9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716D91" w:rsidP="00716D91">
      <w:pPr>
        <w:jc w:val="both"/>
        <w:rPr>
          <w:rFonts w:ascii="Tahoma" w:hAnsi="Tahoma" w:cs="Tahoma"/>
          <w:sz w:val="20"/>
          <w:szCs w:val="20"/>
        </w:rPr>
      </w:pPr>
    </w:p>
    <w:p w:rsidR="00716D91" w:rsidRDefault="00716D91" w:rsidP="00716D91">
      <w:pPr>
        <w:suppressAutoHyphens w:val="0"/>
        <w:rPr>
          <w:rFonts w:ascii="Tahoma" w:hAnsi="Tahoma" w:cs="Tahoma"/>
          <w:b/>
          <w:sz w:val="20"/>
          <w:szCs w:val="20"/>
        </w:rPr>
      </w:pPr>
    </w:p>
    <w:p w:rsidR="00716D91" w:rsidRDefault="00716D91" w:rsidP="00716D91">
      <w:pPr>
        <w:pStyle w:val="Corpodeltesto21"/>
        <w:jc w:val="both"/>
      </w:pPr>
    </w:p>
    <w:p w:rsidR="00590A31" w:rsidRDefault="00590A31" w:rsidP="00590A31">
      <w:pPr>
        <w:jc w:val="both"/>
        <w:rPr>
          <w:rFonts w:ascii="Tahoma" w:hAnsi="Tahoma" w:cs="Tahoma"/>
          <w:sz w:val="20"/>
          <w:szCs w:val="20"/>
        </w:rPr>
      </w:pPr>
    </w:p>
    <w:p w:rsidR="002B1268" w:rsidRDefault="002B1268" w:rsidP="00590A31">
      <w:pPr>
        <w:jc w:val="both"/>
        <w:rPr>
          <w:rFonts w:ascii="Tahoma" w:hAnsi="Tahoma" w:cs="Tahoma"/>
          <w:sz w:val="20"/>
          <w:szCs w:val="20"/>
        </w:rPr>
      </w:pPr>
    </w:p>
    <w:p w:rsidR="002B1268" w:rsidRDefault="002B1268" w:rsidP="00590A31">
      <w:pPr>
        <w:jc w:val="both"/>
        <w:rPr>
          <w:rFonts w:ascii="Tahoma" w:hAnsi="Tahoma" w:cs="Tahoma"/>
          <w:sz w:val="20"/>
          <w:szCs w:val="20"/>
        </w:rPr>
      </w:pPr>
    </w:p>
    <w:p w:rsidR="002B1268" w:rsidRDefault="002B1268" w:rsidP="00590A31">
      <w:pPr>
        <w:jc w:val="both"/>
        <w:rPr>
          <w:rFonts w:ascii="Tahoma" w:hAnsi="Tahoma" w:cs="Tahoma"/>
          <w:sz w:val="20"/>
          <w:szCs w:val="20"/>
        </w:rPr>
      </w:pPr>
    </w:p>
    <w:p w:rsidR="002258AF" w:rsidRDefault="002258AF" w:rsidP="00590A31">
      <w:pPr>
        <w:jc w:val="both"/>
        <w:rPr>
          <w:rFonts w:ascii="Tahoma" w:hAnsi="Tahoma" w:cs="Tahoma"/>
          <w:sz w:val="20"/>
          <w:szCs w:val="20"/>
        </w:rPr>
      </w:pPr>
    </w:p>
    <w:p w:rsidR="002B1268" w:rsidRDefault="00266A33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  <w:r w:rsidRPr="00266A33">
        <w:pict>
          <v:shape id="_x0000_s1026" type="#_x0000_t202" style="position:absolute;left:0;text-align:left;margin-left:-186.8pt;margin-top:77.7pt;width:146.55pt;height:20.95pt;z-index:251660288;mso-wrap-distance-left:9.05pt;mso-wrap-distance-right:9.05pt" stroked="f">
            <v:fill color2="black"/>
            <v:textbox inset="0,0,0,0">
              <w:txbxContent>
                <w:p w:rsidR="003808DD" w:rsidRDefault="003808DD" w:rsidP="00716D91"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Fonte di approvvigionamento HR</w:t>
                  </w:r>
                </w:p>
              </w:txbxContent>
            </v:textbox>
          </v:shape>
        </w:pict>
      </w:r>
      <w:r w:rsidRPr="00266A33">
        <w:pict>
          <v:shape id="_x0000_s1029" type="#_x0000_t202" style="position:absolute;left:0;text-align:left;margin-left:74.75pt;margin-top:78.8pt;width:175.4pt;height:20.95pt;z-index:251663360;mso-wrap-distance-left:9.05pt;mso-wrap-distance-right:9.05pt" stroked="f">
            <v:fill color2="black"/>
            <v:textbox inset="0,0,0,0">
              <w:txbxContent>
                <w:p w:rsidR="003808DD" w:rsidRDefault="003808DD" w:rsidP="00716D91"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Investimento formazione interna (h/pax)</w:t>
                  </w:r>
                </w:p>
              </w:txbxContent>
            </v:textbox>
          </v:shape>
        </w:pict>
      </w:r>
      <w:r w:rsidR="00D5241C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-349885</wp:posOffset>
            </wp:positionH>
            <wp:positionV relativeFrom="margin">
              <wp:posOffset>4676775</wp:posOffset>
            </wp:positionV>
            <wp:extent cx="3053715" cy="2402840"/>
            <wp:effectExtent l="19050" t="0" r="0" b="0"/>
            <wp:wrapSquare wrapText="bothSides"/>
            <wp:docPr id="1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41C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3031490</wp:posOffset>
            </wp:positionH>
            <wp:positionV relativeFrom="margin">
              <wp:posOffset>4613275</wp:posOffset>
            </wp:positionV>
            <wp:extent cx="3084830" cy="2519680"/>
            <wp:effectExtent l="19050" t="0" r="1270" b="0"/>
            <wp:wrapSquare wrapText="bothSides"/>
            <wp:docPr id="1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8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41C">
        <w:rPr>
          <w:rFonts w:ascii="Tahoma" w:hAnsi="Tahoma" w:cs="Tahoma"/>
          <w:noProof/>
          <w:sz w:val="20"/>
          <w:szCs w:val="20"/>
          <w:lang w:eastAsia="it-IT"/>
        </w:rPr>
        <w:t xml:space="preserve"> </w:t>
      </w: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010503" w:rsidRDefault="009216F6" w:rsidP="006E1358">
      <w:pPr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 w:rsidRPr="006E1358">
        <w:rPr>
          <w:rFonts w:ascii="Tahoma" w:hAnsi="Tahoma" w:cs="Tahoma"/>
          <w:b/>
          <w:sz w:val="20"/>
          <w:szCs w:val="20"/>
        </w:rPr>
        <w:t xml:space="preserve">TABELLA PREVISIONE ASSUNZIONI </w:t>
      </w:r>
      <w:proofErr w:type="spellStart"/>
      <w:r w:rsidR="00010503">
        <w:rPr>
          <w:rFonts w:ascii="Tahoma" w:hAnsi="Tahoma" w:cs="Tahoma"/>
          <w:b/>
          <w:sz w:val="20"/>
          <w:szCs w:val="20"/>
        </w:rPr>
        <w:t>DI</w:t>
      </w:r>
      <w:proofErr w:type="spellEnd"/>
      <w:r w:rsidR="00010503">
        <w:rPr>
          <w:rFonts w:ascii="Tahoma" w:hAnsi="Tahoma" w:cs="Tahoma"/>
          <w:b/>
          <w:sz w:val="20"/>
          <w:szCs w:val="20"/>
        </w:rPr>
        <w:t xml:space="preserve"> DIPENDENTI </w:t>
      </w:r>
      <w:r w:rsidR="006E1358">
        <w:rPr>
          <w:rFonts w:ascii="Tahoma" w:hAnsi="Tahoma" w:cs="Tahoma"/>
          <w:b/>
          <w:sz w:val="20"/>
          <w:szCs w:val="20"/>
        </w:rPr>
        <w:t xml:space="preserve">NELL’INDUSTRIA </w:t>
      </w:r>
    </w:p>
    <w:p w:rsidR="00521107" w:rsidRPr="006E1358" w:rsidRDefault="009216F6" w:rsidP="006E1358">
      <w:pPr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 w:rsidRPr="006E1358">
        <w:rPr>
          <w:rFonts w:ascii="Tahoma" w:hAnsi="Tahoma" w:cs="Tahoma"/>
          <w:b/>
          <w:sz w:val="20"/>
          <w:szCs w:val="20"/>
        </w:rPr>
        <w:t xml:space="preserve">PRIMO TRIMESTRE 2015 </w:t>
      </w:r>
    </w:p>
    <w:p w:rsidR="002D7A04" w:rsidRPr="006E1358" w:rsidRDefault="009216F6" w:rsidP="006E1358">
      <w:pPr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 w:rsidRPr="006E1358">
        <w:rPr>
          <w:rFonts w:ascii="Tahoma" w:hAnsi="Tahoma" w:cs="Tahoma"/>
          <w:b/>
          <w:sz w:val="20"/>
          <w:szCs w:val="20"/>
        </w:rPr>
        <w:t xml:space="preserve">(ELABORAZIONE </w:t>
      </w:r>
      <w:r w:rsidR="00521107" w:rsidRPr="006E1358">
        <w:rPr>
          <w:rFonts w:ascii="Tahoma" w:hAnsi="Tahoma" w:cs="Tahoma"/>
          <w:b/>
          <w:sz w:val="20"/>
          <w:szCs w:val="20"/>
        </w:rPr>
        <w:t>OSSERVATORIO MECSPE</w:t>
      </w:r>
      <w:r w:rsidRPr="006E1358">
        <w:rPr>
          <w:rFonts w:ascii="Tahoma" w:hAnsi="Tahoma" w:cs="Tahoma"/>
          <w:b/>
          <w:sz w:val="20"/>
          <w:szCs w:val="20"/>
        </w:rPr>
        <w:t xml:space="preserve"> SU BASE DATI </w:t>
      </w:r>
      <w:r w:rsidR="00521107" w:rsidRPr="006E1358">
        <w:rPr>
          <w:rFonts w:ascii="Tahoma" w:hAnsi="Tahoma" w:cs="Tahoma"/>
          <w:b/>
          <w:sz w:val="20"/>
          <w:szCs w:val="20"/>
        </w:rPr>
        <w:t>EXCELSIOR-UNIONCAM</w:t>
      </w:r>
      <w:r w:rsidR="004D0C55">
        <w:rPr>
          <w:rFonts w:ascii="Tahoma" w:hAnsi="Tahoma" w:cs="Tahoma"/>
          <w:b/>
          <w:sz w:val="20"/>
          <w:szCs w:val="20"/>
        </w:rPr>
        <w:t>E</w:t>
      </w:r>
      <w:r w:rsidR="00521107" w:rsidRPr="006E1358">
        <w:rPr>
          <w:rFonts w:ascii="Tahoma" w:hAnsi="Tahoma" w:cs="Tahoma"/>
          <w:b/>
          <w:sz w:val="20"/>
          <w:szCs w:val="20"/>
        </w:rPr>
        <w:t>RE)</w:t>
      </w:r>
    </w:p>
    <w:p w:rsidR="009216F6" w:rsidRDefault="009216F6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tbl>
      <w:tblPr>
        <w:tblW w:w="1018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200"/>
        <w:gridCol w:w="2060"/>
        <w:gridCol w:w="1230"/>
        <w:gridCol w:w="1200"/>
        <w:gridCol w:w="1200"/>
        <w:gridCol w:w="1200"/>
        <w:gridCol w:w="1200"/>
      </w:tblGrid>
      <w:tr w:rsidR="002D7A04" w:rsidRPr="002D7A04" w:rsidTr="002D7A04">
        <w:trPr>
          <w:trHeight w:val="66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CUI (VALORI %) - PER TIPOLOGIA CONTRATTI</w:t>
            </w:r>
          </w:p>
        </w:tc>
      </w:tr>
      <w:tr w:rsidR="002D7A04" w:rsidRPr="002D7A04" w:rsidTr="002D7A04">
        <w:trPr>
          <w:trHeight w:val="9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INDUSTRIA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ASSUNZIONI PREVISTE DALL</w:t>
            </w:r>
            <w:r w:rsidR="009216F6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'INDUSTRIA NEL </w:t>
            </w:r>
            <w:proofErr w:type="spellStart"/>
            <w:r w:rsidR="009216F6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I°</w:t>
            </w:r>
            <w:proofErr w:type="spellEnd"/>
            <w:r w:rsidR="009216F6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TRIMESTRE 2015</w:t>
            </w: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(Valori assoluti)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% SUL TOTALE DELL'INDUSTRIA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 tempo indeterminato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 tempo determinato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Apprendistato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Altri contratti</w:t>
            </w:r>
          </w:p>
        </w:tc>
      </w:tr>
      <w:tr w:rsidR="002D7A04" w:rsidRPr="002D7A04" w:rsidTr="002D7A04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meccaniche ed elettroniche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8.220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28,2%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39,7%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49,0%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9,8%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1,4%</w:t>
            </w:r>
          </w:p>
        </w:tc>
      </w:tr>
      <w:tr w:rsidR="002D7A04" w:rsidRPr="002D7A04" w:rsidTr="002D7A04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metallurgiche e dei prodotti in metallo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4.850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16,6%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33,8%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50,0%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15,3%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0,9%</w:t>
            </w:r>
          </w:p>
        </w:tc>
      </w:tr>
      <w:tr w:rsidR="002D7A04" w:rsidRPr="002D7A04" w:rsidTr="002D7A04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alimentari, delle bevande e del tabacco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4.220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14,5%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23,1%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69,5%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6,2%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1,2%</w:t>
            </w:r>
          </w:p>
        </w:tc>
      </w:tr>
      <w:tr w:rsidR="002D7A04" w:rsidRPr="002D7A04" w:rsidTr="002D7A04">
        <w:trPr>
          <w:trHeight w:val="6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tessili, dell'abbigliamento e calzature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3.430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11,8%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35,7%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54,2%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7,2%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2,9%</w:t>
            </w:r>
          </w:p>
        </w:tc>
      </w:tr>
      <w:tr w:rsidR="002D7A04" w:rsidRPr="002D7A04" w:rsidTr="002D7A04">
        <w:trPr>
          <w:trHeight w:val="6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chimico-farmaceutiche, della plastica e della gomma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2.630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9,0%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35,6%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52,3%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7,7%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4,3%</w:t>
            </w:r>
          </w:p>
        </w:tc>
      </w:tr>
      <w:tr w:rsidR="002D7A04" w:rsidRPr="002D7A04" w:rsidTr="002D7A04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del legno e del mobile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1.080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21,4%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66,0%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7,3%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5,3%</w:t>
            </w:r>
          </w:p>
        </w:tc>
      </w:tr>
      <w:tr w:rsidR="002D7A04" w:rsidRPr="002D7A04" w:rsidTr="002D7A04">
        <w:trPr>
          <w:trHeight w:val="6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lavorazione dei minerali non metalliferi ed estrattive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47,5%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33,6%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17,7%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1,1%</w:t>
            </w:r>
          </w:p>
        </w:tc>
      </w:tr>
      <w:tr w:rsidR="002D7A04" w:rsidRPr="002D7A04" w:rsidTr="002D7A04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Industrie della carta, cartotecnica e stampa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700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63,9%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5,1%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1,0%</w:t>
            </w:r>
          </w:p>
        </w:tc>
      </w:tr>
      <w:tr w:rsidR="002D7A04" w:rsidRPr="002D7A04" w:rsidTr="002D7A0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Altre industrie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3.210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11,0%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26,7%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37,2%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34,4%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1,7%</w:t>
            </w:r>
          </w:p>
        </w:tc>
      </w:tr>
      <w:tr w:rsidR="002D7A04" w:rsidRPr="002D7A04" w:rsidTr="002D7A0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29.140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32,4%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55,3%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11,4%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D7A04" w:rsidRPr="002D7A04" w:rsidRDefault="002D7A04" w:rsidP="002D7A0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D7A0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it-IT"/>
              </w:rPr>
              <w:t>1,0%</w:t>
            </w:r>
          </w:p>
        </w:tc>
      </w:tr>
    </w:tbl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:rsidR="002D7A04" w:rsidRDefault="002D7A04" w:rsidP="00590A31">
      <w:pPr>
        <w:jc w:val="both"/>
        <w:rPr>
          <w:rFonts w:ascii="Tahoma" w:hAnsi="Tahoma" w:cs="Tahoma"/>
          <w:sz w:val="20"/>
          <w:szCs w:val="20"/>
        </w:rPr>
      </w:pPr>
    </w:p>
    <w:sectPr w:rsidR="002D7A04" w:rsidSect="00580FCF">
      <w:headerReference w:type="default" r:id="rId16"/>
      <w:footerReference w:type="default" r:id="rId17"/>
      <w:pgSz w:w="11906" w:h="16838"/>
      <w:pgMar w:top="899" w:right="1134" w:bottom="76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DD" w:rsidRDefault="003808DD">
      <w:r>
        <w:separator/>
      </w:r>
    </w:p>
  </w:endnote>
  <w:endnote w:type="continuationSeparator" w:id="0">
    <w:p w:rsidR="003808DD" w:rsidRDefault="0038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PS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DD" w:rsidRDefault="00266A33">
    <w:pPr>
      <w:pStyle w:val="Pidipagina"/>
      <w:tabs>
        <w:tab w:val="clear" w:pos="4819"/>
        <w:tab w:val="clear" w:pos="9638"/>
        <w:tab w:val="left" w:pos="8595"/>
      </w:tabs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5.95pt;height:13.7pt;z-index:251657216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3808DD" w:rsidRDefault="00266A33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3808DD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9E6D5F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3808DD">
      <w:rPr>
        <w:rFonts w:cs="Tahoma"/>
        <w:i/>
        <w:noProof/>
        <w:sz w:val="18"/>
        <w:szCs w:val="18"/>
        <w:lang w:eastAsia="it-IT"/>
      </w:rPr>
      <w:drawing>
        <wp:inline distT="0" distB="0" distL="0" distR="0">
          <wp:extent cx="1149985" cy="58356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835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08DD">
      <w:rPr>
        <w:noProof/>
        <w:lang w:eastAsia="it-IT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104775</wp:posOffset>
          </wp:positionV>
          <wp:extent cx="790575" cy="354965"/>
          <wp:effectExtent l="19050" t="0" r="9525" b="0"/>
          <wp:wrapTight wrapText="bothSides">
            <wp:wrapPolygon edited="0">
              <wp:start x="-520" y="0"/>
              <wp:lineTo x="-520" y="20866"/>
              <wp:lineTo x="21860" y="20866"/>
              <wp:lineTo x="21860" y="0"/>
              <wp:lineTo x="-520" y="0"/>
            </wp:wrapPolygon>
          </wp:wrapTight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54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DD" w:rsidRDefault="003808DD">
      <w:r>
        <w:separator/>
      </w:r>
    </w:p>
  </w:footnote>
  <w:footnote w:type="continuationSeparator" w:id="0">
    <w:p w:rsidR="003808DD" w:rsidRDefault="0038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DD" w:rsidRDefault="003808DD">
    <w:pPr>
      <w:pStyle w:val="Intestazione"/>
    </w:pPr>
    <w:r>
      <w:rPr>
        <w:noProof/>
        <w:lang w:eastAsia="it-IT"/>
      </w:rPr>
      <w:drawing>
        <wp:inline distT="0" distB="0" distL="0" distR="0">
          <wp:extent cx="2507615" cy="1082675"/>
          <wp:effectExtent l="1905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1082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B476B"/>
    <w:multiLevelType w:val="hybridMultilevel"/>
    <w:tmpl w:val="C30E870C"/>
    <w:lvl w:ilvl="0" w:tplc="3AE2718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05E7B"/>
    <w:multiLevelType w:val="hybridMultilevel"/>
    <w:tmpl w:val="45F88C9E"/>
    <w:lvl w:ilvl="0" w:tplc="11E61FCC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760A59"/>
    <w:multiLevelType w:val="hybridMultilevel"/>
    <w:tmpl w:val="31CCD036"/>
    <w:lvl w:ilvl="0" w:tplc="C2C212F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D404B"/>
    <w:multiLevelType w:val="hybridMultilevel"/>
    <w:tmpl w:val="7E4A70EC"/>
    <w:lvl w:ilvl="0" w:tplc="6C765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F7C4F"/>
    <w:multiLevelType w:val="hybridMultilevel"/>
    <w:tmpl w:val="C2FE1182"/>
    <w:lvl w:ilvl="0" w:tplc="9B4EA60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D54D8"/>
    <w:multiLevelType w:val="multilevel"/>
    <w:tmpl w:val="6E2C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6371C"/>
    <w:multiLevelType w:val="hybridMultilevel"/>
    <w:tmpl w:val="7E809AB8"/>
    <w:lvl w:ilvl="0" w:tplc="42D4460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F3B8D"/>
    <w:multiLevelType w:val="hybridMultilevel"/>
    <w:tmpl w:val="2C10C92A"/>
    <w:lvl w:ilvl="0" w:tplc="0740A43C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C96"/>
    <w:rsid w:val="00000637"/>
    <w:rsid w:val="00001823"/>
    <w:rsid w:val="00002EA4"/>
    <w:rsid w:val="00004E9F"/>
    <w:rsid w:val="00010503"/>
    <w:rsid w:val="00013B6C"/>
    <w:rsid w:val="000230D2"/>
    <w:rsid w:val="000342BB"/>
    <w:rsid w:val="00037B4E"/>
    <w:rsid w:val="00041BDF"/>
    <w:rsid w:val="0004552D"/>
    <w:rsid w:val="00047B96"/>
    <w:rsid w:val="00050542"/>
    <w:rsid w:val="00051ECB"/>
    <w:rsid w:val="00053920"/>
    <w:rsid w:val="0006070B"/>
    <w:rsid w:val="0006168B"/>
    <w:rsid w:val="00067B6A"/>
    <w:rsid w:val="00071DA9"/>
    <w:rsid w:val="000739C8"/>
    <w:rsid w:val="00074298"/>
    <w:rsid w:val="000748E8"/>
    <w:rsid w:val="000801FB"/>
    <w:rsid w:val="00083B31"/>
    <w:rsid w:val="00083B7D"/>
    <w:rsid w:val="00090F05"/>
    <w:rsid w:val="00091905"/>
    <w:rsid w:val="00093805"/>
    <w:rsid w:val="000A0D13"/>
    <w:rsid w:val="000A1595"/>
    <w:rsid w:val="000A3483"/>
    <w:rsid w:val="000B184E"/>
    <w:rsid w:val="000B1A75"/>
    <w:rsid w:val="000B59D2"/>
    <w:rsid w:val="000B655E"/>
    <w:rsid w:val="000B6614"/>
    <w:rsid w:val="000C1952"/>
    <w:rsid w:val="000C2640"/>
    <w:rsid w:val="000C306E"/>
    <w:rsid w:val="000C3DFC"/>
    <w:rsid w:val="000C793A"/>
    <w:rsid w:val="000C7BA5"/>
    <w:rsid w:val="000D2BC7"/>
    <w:rsid w:val="000D63E3"/>
    <w:rsid w:val="000E12BD"/>
    <w:rsid w:val="000E6EF3"/>
    <w:rsid w:val="000F164E"/>
    <w:rsid w:val="000F4DB9"/>
    <w:rsid w:val="000F522C"/>
    <w:rsid w:val="000F6EDA"/>
    <w:rsid w:val="000F7C85"/>
    <w:rsid w:val="001005B7"/>
    <w:rsid w:val="001021DC"/>
    <w:rsid w:val="00102EAA"/>
    <w:rsid w:val="00112D26"/>
    <w:rsid w:val="001150A5"/>
    <w:rsid w:val="001207B6"/>
    <w:rsid w:val="00120D28"/>
    <w:rsid w:val="00121C57"/>
    <w:rsid w:val="00121EAF"/>
    <w:rsid w:val="00123E56"/>
    <w:rsid w:val="001251A5"/>
    <w:rsid w:val="001262E0"/>
    <w:rsid w:val="0012796F"/>
    <w:rsid w:val="001315AE"/>
    <w:rsid w:val="001344F7"/>
    <w:rsid w:val="00136498"/>
    <w:rsid w:val="001370B2"/>
    <w:rsid w:val="001376C0"/>
    <w:rsid w:val="001420FC"/>
    <w:rsid w:val="001423B3"/>
    <w:rsid w:val="001430DB"/>
    <w:rsid w:val="00143C17"/>
    <w:rsid w:val="00143C3F"/>
    <w:rsid w:val="00144C99"/>
    <w:rsid w:val="00145229"/>
    <w:rsid w:val="00146C4B"/>
    <w:rsid w:val="00154037"/>
    <w:rsid w:val="0015514C"/>
    <w:rsid w:val="00155CCD"/>
    <w:rsid w:val="00156C38"/>
    <w:rsid w:val="00157A67"/>
    <w:rsid w:val="00160955"/>
    <w:rsid w:val="00176B63"/>
    <w:rsid w:val="00176DD9"/>
    <w:rsid w:val="0018210C"/>
    <w:rsid w:val="00182540"/>
    <w:rsid w:val="00186BE3"/>
    <w:rsid w:val="00187ACA"/>
    <w:rsid w:val="00190DF7"/>
    <w:rsid w:val="0019136A"/>
    <w:rsid w:val="00192B8E"/>
    <w:rsid w:val="00192ECB"/>
    <w:rsid w:val="0019351B"/>
    <w:rsid w:val="00195E28"/>
    <w:rsid w:val="001A0D98"/>
    <w:rsid w:val="001A215B"/>
    <w:rsid w:val="001A3354"/>
    <w:rsid w:val="001A4804"/>
    <w:rsid w:val="001A5D44"/>
    <w:rsid w:val="001A6503"/>
    <w:rsid w:val="001A6B78"/>
    <w:rsid w:val="001B32D7"/>
    <w:rsid w:val="001B491E"/>
    <w:rsid w:val="001B6988"/>
    <w:rsid w:val="001B7AB6"/>
    <w:rsid w:val="001C18C4"/>
    <w:rsid w:val="001C1B4F"/>
    <w:rsid w:val="001C368A"/>
    <w:rsid w:val="001C397B"/>
    <w:rsid w:val="001C42B4"/>
    <w:rsid w:val="001C50C3"/>
    <w:rsid w:val="001C6919"/>
    <w:rsid w:val="001D1FA6"/>
    <w:rsid w:val="001D2847"/>
    <w:rsid w:val="001D6B1B"/>
    <w:rsid w:val="001D6D31"/>
    <w:rsid w:val="001E3000"/>
    <w:rsid w:val="001E4036"/>
    <w:rsid w:val="001E56E3"/>
    <w:rsid w:val="001E7F68"/>
    <w:rsid w:val="001F1F5C"/>
    <w:rsid w:val="001F2F7D"/>
    <w:rsid w:val="001F6364"/>
    <w:rsid w:val="001F75A7"/>
    <w:rsid w:val="00203485"/>
    <w:rsid w:val="00205CE0"/>
    <w:rsid w:val="002074D4"/>
    <w:rsid w:val="00213C96"/>
    <w:rsid w:val="00213E90"/>
    <w:rsid w:val="0021446D"/>
    <w:rsid w:val="002223AA"/>
    <w:rsid w:val="002223BE"/>
    <w:rsid w:val="002258AF"/>
    <w:rsid w:val="00225D17"/>
    <w:rsid w:val="00227DD3"/>
    <w:rsid w:val="00231370"/>
    <w:rsid w:val="00235BCF"/>
    <w:rsid w:val="00235C7D"/>
    <w:rsid w:val="002369E1"/>
    <w:rsid w:val="00243947"/>
    <w:rsid w:val="0024532B"/>
    <w:rsid w:val="0024558E"/>
    <w:rsid w:val="00246520"/>
    <w:rsid w:val="00251CEA"/>
    <w:rsid w:val="002532AE"/>
    <w:rsid w:val="002567AF"/>
    <w:rsid w:val="002603C9"/>
    <w:rsid w:val="002624C4"/>
    <w:rsid w:val="00263C4C"/>
    <w:rsid w:val="00266A33"/>
    <w:rsid w:val="00273D66"/>
    <w:rsid w:val="00274082"/>
    <w:rsid w:val="00282524"/>
    <w:rsid w:val="002826AE"/>
    <w:rsid w:val="00286B25"/>
    <w:rsid w:val="00286E86"/>
    <w:rsid w:val="002A071A"/>
    <w:rsid w:val="002A1030"/>
    <w:rsid w:val="002A5628"/>
    <w:rsid w:val="002A57E8"/>
    <w:rsid w:val="002A5E00"/>
    <w:rsid w:val="002A6FD5"/>
    <w:rsid w:val="002A707B"/>
    <w:rsid w:val="002A742E"/>
    <w:rsid w:val="002A7FCF"/>
    <w:rsid w:val="002B0DDE"/>
    <w:rsid w:val="002B1268"/>
    <w:rsid w:val="002B14F7"/>
    <w:rsid w:val="002B29F5"/>
    <w:rsid w:val="002B3F9B"/>
    <w:rsid w:val="002B3FBA"/>
    <w:rsid w:val="002B6DF4"/>
    <w:rsid w:val="002B7B25"/>
    <w:rsid w:val="002B7BDB"/>
    <w:rsid w:val="002C2853"/>
    <w:rsid w:val="002D0075"/>
    <w:rsid w:val="002D03F2"/>
    <w:rsid w:val="002D6B83"/>
    <w:rsid w:val="002D6F48"/>
    <w:rsid w:val="002D7A04"/>
    <w:rsid w:val="002E3F34"/>
    <w:rsid w:val="002E5D0D"/>
    <w:rsid w:val="002E6E1D"/>
    <w:rsid w:val="002F05A8"/>
    <w:rsid w:val="002F063E"/>
    <w:rsid w:val="002F0856"/>
    <w:rsid w:val="002F0961"/>
    <w:rsid w:val="002F36CB"/>
    <w:rsid w:val="002F5072"/>
    <w:rsid w:val="002F56BE"/>
    <w:rsid w:val="003015E3"/>
    <w:rsid w:val="00303E44"/>
    <w:rsid w:val="00307A4F"/>
    <w:rsid w:val="00315C73"/>
    <w:rsid w:val="003206EE"/>
    <w:rsid w:val="00323903"/>
    <w:rsid w:val="003245E0"/>
    <w:rsid w:val="00325ACD"/>
    <w:rsid w:val="0032724F"/>
    <w:rsid w:val="00330198"/>
    <w:rsid w:val="00332274"/>
    <w:rsid w:val="00332EF9"/>
    <w:rsid w:val="0033416E"/>
    <w:rsid w:val="00336955"/>
    <w:rsid w:val="00337965"/>
    <w:rsid w:val="0034031B"/>
    <w:rsid w:val="00344804"/>
    <w:rsid w:val="0034652D"/>
    <w:rsid w:val="00347AC5"/>
    <w:rsid w:val="00350596"/>
    <w:rsid w:val="003512EE"/>
    <w:rsid w:val="0035579C"/>
    <w:rsid w:val="00360278"/>
    <w:rsid w:val="00361332"/>
    <w:rsid w:val="00361C6C"/>
    <w:rsid w:val="00362A4C"/>
    <w:rsid w:val="0036310E"/>
    <w:rsid w:val="00364F1F"/>
    <w:rsid w:val="003657D6"/>
    <w:rsid w:val="00367507"/>
    <w:rsid w:val="0037200F"/>
    <w:rsid w:val="003808DD"/>
    <w:rsid w:val="00381821"/>
    <w:rsid w:val="003904DA"/>
    <w:rsid w:val="003921CF"/>
    <w:rsid w:val="00392B24"/>
    <w:rsid w:val="0039328A"/>
    <w:rsid w:val="003932D1"/>
    <w:rsid w:val="00395FE5"/>
    <w:rsid w:val="003A04A5"/>
    <w:rsid w:val="003A2B23"/>
    <w:rsid w:val="003A3DD5"/>
    <w:rsid w:val="003A6CE6"/>
    <w:rsid w:val="003A7DB7"/>
    <w:rsid w:val="003B615E"/>
    <w:rsid w:val="003C2E12"/>
    <w:rsid w:val="003C41A3"/>
    <w:rsid w:val="003D1962"/>
    <w:rsid w:val="003D5714"/>
    <w:rsid w:val="003D5EB9"/>
    <w:rsid w:val="003D6F92"/>
    <w:rsid w:val="003D73FE"/>
    <w:rsid w:val="003E21F8"/>
    <w:rsid w:val="003E2C42"/>
    <w:rsid w:val="003E4004"/>
    <w:rsid w:val="003E53F9"/>
    <w:rsid w:val="003F4027"/>
    <w:rsid w:val="003F56D5"/>
    <w:rsid w:val="003F6C63"/>
    <w:rsid w:val="00400990"/>
    <w:rsid w:val="00401820"/>
    <w:rsid w:val="00403421"/>
    <w:rsid w:val="004069CA"/>
    <w:rsid w:val="0041392F"/>
    <w:rsid w:val="00417F78"/>
    <w:rsid w:val="004202D7"/>
    <w:rsid w:val="00422944"/>
    <w:rsid w:val="00424AE8"/>
    <w:rsid w:val="004310E2"/>
    <w:rsid w:val="00432F66"/>
    <w:rsid w:val="00433F22"/>
    <w:rsid w:val="00434FB3"/>
    <w:rsid w:val="0044026D"/>
    <w:rsid w:val="004405AA"/>
    <w:rsid w:val="00443E59"/>
    <w:rsid w:val="00452252"/>
    <w:rsid w:val="00455602"/>
    <w:rsid w:val="00456250"/>
    <w:rsid w:val="004564A8"/>
    <w:rsid w:val="0045682E"/>
    <w:rsid w:val="004658B7"/>
    <w:rsid w:val="0046613B"/>
    <w:rsid w:val="00466ECF"/>
    <w:rsid w:val="00474E7D"/>
    <w:rsid w:val="00475D4E"/>
    <w:rsid w:val="00480B6F"/>
    <w:rsid w:val="00481AEF"/>
    <w:rsid w:val="00481FC3"/>
    <w:rsid w:val="0048345E"/>
    <w:rsid w:val="0048388C"/>
    <w:rsid w:val="00483E65"/>
    <w:rsid w:val="00484BBF"/>
    <w:rsid w:val="00486525"/>
    <w:rsid w:val="004865D8"/>
    <w:rsid w:val="00487C54"/>
    <w:rsid w:val="004A3020"/>
    <w:rsid w:val="004B044D"/>
    <w:rsid w:val="004B2301"/>
    <w:rsid w:val="004B49A8"/>
    <w:rsid w:val="004B5238"/>
    <w:rsid w:val="004B60E0"/>
    <w:rsid w:val="004C490A"/>
    <w:rsid w:val="004D0BDE"/>
    <w:rsid w:val="004D0C55"/>
    <w:rsid w:val="004D0D13"/>
    <w:rsid w:val="004D4457"/>
    <w:rsid w:val="004E0466"/>
    <w:rsid w:val="004E090A"/>
    <w:rsid w:val="004E1070"/>
    <w:rsid w:val="004E5731"/>
    <w:rsid w:val="004E76E2"/>
    <w:rsid w:val="004E7F2E"/>
    <w:rsid w:val="004F06E5"/>
    <w:rsid w:val="004F46B4"/>
    <w:rsid w:val="004F4BB9"/>
    <w:rsid w:val="004F7C29"/>
    <w:rsid w:val="00504D88"/>
    <w:rsid w:val="0051097F"/>
    <w:rsid w:val="00514246"/>
    <w:rsid w:val="00514490"/>
    <w:rsid w:val="0051515E"/>
    <w:rsid w:val="00521107"/>
    <w:rsid w:val="005232CF"/>
    <w:rsid w:val="005244CA"/>
    <w:rsid w:val="0053173D"/>
    <w:rsid w:val="005335E1"/>
    <w:rsid w:val="00534993"/>
    <w:rsid w:val="005374DC"/>
    <w:rsid w:val="00537E1B"/>
    <w:rsid w:val="00542C60"/>
    <w:rsid w:val="00542CD5"/>
    <w:rsid w:val="005469A6"/>
    <w:rsid w:val="00546B59"/>
    <w:rsid w:val="0055075E"/>
    <w:rsid w:val="005518FC"/>
    <w:rsid w:val="00552BE0"/>
    <w:rsid w:val="00555873"/>
    <w:rsid w:val="00567AB4"/>
    <w:rsid w:val="00571588"/>
    <w:rsid w:val="005732F3"/>
    <w:rsid w:val="005755E5"/>
    <w:rsid w:val="00577BF5"/>
    <w:rsid w:val="005806AA"/>
    <w:rsid w:val="0058091E"/>
    <w:rsid w:val="00580FCF"/>
    <w:rsid w:val="00583F2C"/>
    <w:rsid w:val="005850C5"/>
    <w:rsid w:val="00590A31"/>
    <w:rsid w:val="00592684"/>
    <w:rsid w:val="005936B4"/>
    <w:rsid w:val="00593EC6"/>
    <w:rsid w:val="00596EFC"/>
    <w:rsid w:val="00597B61"/>
    <w:rsid w:val="005A0C4C"/>
    <w:rsid w:val="005A397F"/>
    <w:rsid w:val="005A5CAB"/>
    <w:rsid w:val="005A60F9"/>
    <w:rsid w:val="005B12E6"/>
    <w:rsid w:val="005B1885"/>
    <w:rsid w:val="005B1F40"/>
    <w:rsid w:val="005B43E6"/>
    <w:rsid w:val="005B4BEC"/>
    <w:rsid w:val="005C01B0"/>
    <w:rsid w:val="005C43AD"/>
    <w:rsid w:val="005C5F63"/>
    <w:rsid w:val="005C6AD4"/>
    <w:rsid w:val="005D0F0C"/>
    <w:rsid w:val="005D71A2"/>
    <w:rsid w:val="005D726C"/>
    <w:rsid w:val="005E054A"/>
    <w:rsid w:val="005F2BA0"/>
    <w:rsid w:val="005F2E4C"/>
    <w:rsid w:val="0060313F"/>
    <w:rsid w:val="00607031"/>
    <w:rsid w:val="00610E14"/>
    <w:rsid w:val="00613242"/>
    <w:rsid w:val="00615E16"/>
    <w:rsid w:val="00621F8B"/>
    <w:rsid w:val="00625563"/>
    <w:rsid w:val="00627132"/>
    <w:rsid w:val="0063452D"/>
    <w:rsid w:val="00643FD0"/>
    <w:rsid w:val="0064570B"/>
    <w:rsid w:val="006468C0"/>
    <w:rsid w:val="006545FD"/>
    <w:rsid w:val="00660280"/>
    <w:rsid w:val="0066148B"/>
    <w:rsid w:val="00665B7B"/>
    <w:rsid w:val="006662F6"/>
    <w:rsid w:val="00670AE5"/>
    <w:rsid w:val="00671C72"/>
    <w:rsid w:val="0067618B"/>
    <w:rsid w:val="0069171F"/>
    <w:rsid w:val="0069385A"/>
    <w:rsid w:val="00694E37"/>
    <w:rsid w:val="0069599C"/>
    <w:rsid w:val="00695F0E"/>
    <w:rsid w:val="006A030A"/>
    <w:rsid w:val="006A0BF1"/>
    <w:rsid w:val="006A4413"/>
    <w:rsid w:val="006A47E2"/>
    <w:rsid w:val="006A51F7"/>
    <w:rsid w:val="006A79E2"/>
    <w:rsid w:val="006B00C0"/>
    <w:rsid w:val="006B5147"/>
    <w:rsid w:val="006C1062"/>
    <w:rsid w:val="006C65B0"/>
    <w:rsid w:val="006C7593"/>
    <w:rsid w:val="006D00C6"/>
    <w:rsid w:val="006D074A"/>
    <w:rsid w:val="006D25D7"/>
    <w:rsid w:val="006D27C6"/>
    <w:rsid w:val="006D2EA7"/>
    <w:rsid w:val="006E0347"/>
    <w:rsid w:val="006E1358"/>
    <w:rsid w:val="006E3328"/>
    <w:rsid w:val="006E4209"/>
    <w:rsid w:val="006E4C8B"/>
    <w:rsid w:val="006F03B4"/>
    <w:rsid w:val="006F08C0"/>
    <w:rsid w:val="006F29C6"/>
    <w:rsid w:val="006F3C67"/>
    <w:rsid w:val="006F50E1"/>
    <w:rsid w:val="006F66E4"/>
    <w:rsid w:val="006F7714"/>
    <w:rsid w:val="007009FF"/>
    <w:rsid w:val="00702503"/>
    <w:rsid w:val="00713A11"/>
    <w:rsid w:val="00714B8C"/>
    <w:rsid w:val="007162AE"/>
    <w:rsid w:val="00716D91"/>
    <w:rsid w:val="007219BA"/>
    <w:rsid w:val="007274CB"/>
    <w:rsid w:val="00730173"/>
    <w:rsid w:val="00730184"/>
    <w:rsid w:val="0073212F"/>
    <w:rsid w:val="00732A3D"/>
    <w:rsid w:val="00733EDD"/>
    <w:rsid w:val="00735606"/>
    <w:rsid w:val="007372A6"/>
    <w:rsid w:val="00737C88"/>
    <w:rsid w:val="0074006B"/>
    <w:rsid w:val="00741C37"/>
    <w:rsid w:val="00741C6D"/>
    <w:rsid w:val="00744DD6"/>
    <w:rsid w:val="007458DA"/>
    <w:rsid w:val="00750E90"/>
    <w:rsid w:val="0075275E"/>
    <w:rsid w:val="0075315A"/>
    <w:rsid w:val="00753644"/>
    <w:rsid w:val="00754CE2"/>
    <w:rsid w:val="00756217"/>
    <w:rsid w:val="00763651"/>
    <w:rsid w:val="00763CD0"/>
    <w:rsid w:val="00765347"/>
    <w:rsid w:val="00765C79"/>
    <w:rsid w:val="00771512"/>
    <w:rsid w:val="00772DD4"/>
    <w:rsid w:val="00782E72"/>
    <w:rsid w:val="00786C11"/>
    <w:rsid w:val="007903A1"/>
    <w:rsid w:val="00794A0A"/>
    <w:rsid w:val="0079602C"/>
    <w:rsid w:val="00797E5A"/>
    <w:rsid w:val="007A056C"/>
    <w:rsid w:val="007A2573"/>
    <w:rsid w:val="007A7375"/>
    <w:rsid w:val="007B236D"/>
    <w:rsid w:val="007B75DB"/>
    <w:rsid w:val="007C1546"/>
    <w:rsid w:val="007C1B5B"/>
    <w:rsid w:val="007C25D0"/>
    <w:rsid w:val="007C35CF"/>
    <w:rsid w:val="007C473C"/>
    <w:rsid w:val="007C5087"/>
    <w:rsid w:val="007C52F2"/>
    <w:rsid w:val="007C5C72"/>
    <w:rsid w:val="007C61C3"/>
    <w:rsid w:val="007C65AE"/>
    <w:rsid w:val="007D11F6"/>
    <w:rsid w:val="007D6B6C"/>
    <w:rsid w:val="007D765C"/>
    <w:rsid w:val="007E0CE8"/>
    <w:rsid w:val="007E2D17"/>
    <w:rsid w:val="007E36B7"/>
    <w:rsid w:val="007E3734"/>
    <w:rsid w:val="007E4341"/>
    <w:rsid w:val="007F35E9"/>
    <w:rsid w:val="007F3F9A"/>
    <w:rsid w:val="007F45F8"/>
    <w:rsid w:val="00800181"/>
    <w:rsid w:val="008002F2"/>
    <w:rsid w:val="00803472"/>
    <w:rsid w:val="008044F0"/>
    <w:rsid w:val="0080458C"/>
    <w:rsid w:val="00804C60"/>
    <w:rsid w:val="00811C0E"/>
    <w:rsid w:val="00815B7A"/>
    <w:rsid w:val="00817B27"/>
    <w:rsid w:val="00830435"/>
    <w:rsid w:val="00831F59"/>
    <w:rsid w:val="00832023"/>
    <w:rsid w:val="0083323B"/>
    <w:rsid w:val="00834885"/>
    <w:rsid w:val="00834CC0"/>
    <w:rsid w:val="0084044C"/>
    <w:rsid w:val="00841352"/>
    <w:rsid w:val="00842F75"/>
    <w:rsid w:val="00844A69"/>
    <w:rsid w:val="0084651A"/>
    <w:rsid w:val="0085034E"/>
    <w:rsid w:val="00850830"/>
    <w:rsid w:val="00853620"/>
    <w:rsid w:val="00856DEE"/>
    <w:rsid w:val="00857028"/>
    <w:rsid w:val="00857240"/>
    <w:rsid w:val="008576B3"/>
    <w:rsid w:val="008578B5"/>
    <w:rsid w:val="008611E3"/>
    <w:rsid w:val="00867312"/>
    <w:rsid w:val="0087430C"/>
    <w:rsid w:val="00877BE2"/>
    <w:rsid w:val="00882350"/>
    <w:rsid w:val="0088281B"/>
    <w:rsid w:val="008836CC"/>
    <w:rsid w:val="00890E38"/>
    <w:rsid w:val="0089191B"/>
    <w:rsid w:val="00894BD6"/>
    <w:rsid w:val="00895EA9"/>
    <w:rsid w:val="008967C6"/>
    <w:rsid w:val="00897262"/>
    <w:rsid w:val="008A1197"/>
    <w:rsid w:val="008A66C2"/>
    <w:rsid w:val="008A7B52"/>
    <w:rsid w:val="008B0EA6"/>
    <w:rsid w:val="008B1834"/>
    <w:rsid w:val="008C1FD2"/>
    <w:rsid w:val="008D348E"/>
    <w:rsid w:val="008D4994"/>
    <w:rsid w:val="008E1E63"/>
    <w:rsid w:val="008E426C"/>
    <w:rsid w:val="008E765D"/>
    <w:rsid w:val="008F1738"/>
    <w:rsid w:val="008F4F14"/>
    <w:rsid w:val="008F54F6"/>
    <w:rsid w:val="008F66D4"/>
    <w:rsid w:val="00900E30"/>
    <w:rsid w:val="00903853"/>
    <w:rsid w:val="00904C8A"/>
    <w:rsid w:val="009135A8"/>
    <w:rsid w:val="00914814"/>
    <w:rsid w:val="00917E35"/>
    <w:rsid w:val="009216F6"/>
    <w:rsid w:val="0092428B"/>
    <w:rsid w:val="0092570D"/>
    <w:rsid w:val="00926152"/>
    <w:rsid w:val="00927057"/>
    <w:rsid w:val="00932DA8"/>
    <w:rsid w:val="009331BE"/>
    <w:rsid w:val="00944141"/>
    <w:rsid w:val="00944A80"/>
    <w:rsid w:val="00944EE5"/>
    <w:rsid w:val="00951814"/>
    <w:rsid w:val="0095305F"/>
    <w:rsid w:val="0095430B"/>
    <w:rsid w:val="00954C1A"/>
    <w:rsid w:val="009550CA"/>
    <w:rsid w:val="00957253"/>
    <w:rsid w:val="00961A4D"/>
    <w:rsid w:val="00964F57"/>
    <w:rsid w:val="0097319B"/>
    <w:rsid w:val="00975553"/>
    <w:rsid w:val="0097782F"/>
    <w:rsid w:val="009779CF"/>
    <w:rsid w:val="009817AE"/>
    <w:rsid w:val="00984C97"/>
    <w:rsid w:val="009936F8"/>
    <w:rsid w:val="00995640"/>
    <w:rsid w:val="009A022D"/>
    <w:rsid w:val="009A08BC"/>
    <w:rsid w:val="009A1B24"/>
    <w:rsid w:val="009A35B7"/>
    <w:rsid w:val="009A4B73"/>
    <w:rsid w:val="009A6926"/>
    <w:rsid w:val="009A6D49"/>
    <w:rsid w:val="009B1677"/>
    <w:rsid w:val="009B2C40"/>
    <w:rsid w:val="009B4FEC"/>
    <w:rsid w:val="009B612B"/>
    <w:rsid w:val="009C0DDF"/>
    <w:rsid w:val="009C3095"/>
    <w:rsid w:val="009C32E0"/>
    <w:rsid w:val="009C3909"/>
    <w:rsid w:val="009C550D"/>
    <w:rsid w:val="009C5553"/>
    <w:rsid w:val="009D14FA"/>
    <w:rsid w:val="009D2375"/>
    <w:rsid w:val="009D3ED9"/>
    <w:rsid w:val="009E2B09"/>
    <w:rsid w:val="009E37FF"/>
    <w:rsid w:val="009E507C"/>
    <w:rsid w:val="009E6C84"/>
    <w:rsid w:val="009E6D5F"/>
    <w:rsid w:val="009F404F"/>
    <w:rsid w:val="009F46BE"/>
    <w:rsid w:val="009F6045"/>
    <w:rsid w:val="00A01DCD"/>
    <w:rsid w:val="00A02996"/>
    <w:rsid w:val="00A02FB4"/>
    <w:rsid w:val="00A030A4"/>
    <w:rsid w:val="00A05770"/>
    <w:rsid w:val="00A06AD2"/>
    <w:rsid w:val="00A07511"/>
    <w:rsid w:val="00A11C1C"/>
    <w:rsid w:val="00A147EA"/>
    <w:rsid w:val="00A14B85"/>
    <w:rsid w:val="00A207E0"/>
    <w:rsid w:val="00A20DF3"/>
    <w:rsid w:val="00A235D0"/>
    <w:rsid w:val="00A25614"/>
    <w:rsid w:val="00A31B22"/>
    <w:rsid w:val="00A368F2"/>
    <w:rsid w:val="00A40F6F"/>
    <w:rsid w:val="00A42B3D"/>
    <w:rsid w:val="00A4502F"/>
    <w:rsid w:val="00A45DF9"/>
    <w:rsid w:val="00A4671E"/>
    <w:rsid w:val="00A471AF"/>
    <w:rsid w:val="00A51993"/>
    <w:rsid w:val="00A546E7"/>
    <w:rsid w:val="00A5650A"/>
    <w:rsid w:val="00A5653F"/>
    <w:rsid w:val="00A57794"/>
    <w:rsid w:val="00A57F4F"/>
    <w:rsid w:val="00A61203"/>
    <w:rsid w:val="00A6189F"/>
    <w:rsid w:val="00A67DCD"/>
    <w:rsid w:val="00A71E43"/>
    <w:rsid w:val="00A72500"/>
    <w:rsid w:val="00A75E46"/>
    <w:rsid w:val="00A761A4"/>
    <w:rsid w:val="00A83757"/>
    <w:rsid w:val="00A83F6B"/>
    <w:rsid w:val="00A938B3"/>
    <w:rsid w:val="00A94528"/>
    <w:rsid w:val="00A97C34"/>
    <w:rsid w:val="00AA20FB"/>
    <w:rsid w:val="00AA3BC8"/>
    <w:rsid w:val="00AA40D4"/>
    <w:rsid w:val="00AB09BC"/>
    <w:rsid w:val="00AB4391"/>
    <w:rsid w:val="00AD17E6"/>
    <w:rsid w:val="00AD33B7"/>
    <w:rsid w:val="00AD5165"/>
    <w:rsid w:val="00AD5CB7"/>
    <w:rsid w:val="00AE0C78"/>
    <w:rsid w:val="00AE2B0D"/>
    <w:rsid w:val="00AE397C"/>
    <w:rsid w:val="00AE4171"/>
    <w:rsid w:val="00AF2107"/>
    <w:rsid w:val="00AF28FF"/>
    <w:rsid w:val="00AF3B4D"/>
    <w:rsid w:val="00AF7E0D"/>
    <w:rsid w:val="00B014AA"/>
    <w:rsid w:val="00B047E1"/>
    <w:rsid w:val="00B10DEB"/>
    <w:rsid w:val="00B12FD9"/>
    <w:rsid w:val="00B148DE"/>
    <w:rsid w:val="00B15225"/>
    <w:rsid w:val="00B2127E"/>
    <w:rsid w:val="00B233C2"/>
    <w:rsid w:val="00B2607F"/>
    <w:rsid w:val="00B265DD"/>
    <w:rsid w:val="00B27D17"/>
    <w:rsid w:val="00B354CF"/>
    <w:rsid w:val="00B35A13"/>
    <w:rsid w:val="00B41784"/>
    <w:rsid w:val="00B41AAE"/>
    <w:rsid w:val="00B46377"/>
    <w:rsid w:val="00B477F7"/>
    <w:rsid w:val="00B47EB1"/>
    <w:rsid w:val="00B5324F"/>
    <w:rsid w:val="00B6183A"/>
    <w:rsid w:val="00B62627"/>
    <w:rsid w:val="00B62EB7"/>
    <w:rsid w:val="00B6794D"/>
    <w:rsid w:val="00B73E72"/>
    <w:rsid w:val="00B75098"/>
    <w:rsid w:val="00B774A7"/>
    <w:rsid w:val="00B77CEB"/>
    <w:rsid w:val="00B8525D"/>
    <w:rsid w:val="00B856E6"/>
    <w:rsid w:val="00B87F26"/>
    <w:rsid w:val="00B910BF"/>
    <w:rsid w:val="00B978BB"/>
    <w:rsid w:val="00BA4C85"/>
    <w:rsid w:val="00BA6058"/>
    <w:rsid w:val="00BA675D"/>
    <w:rsid w:val="00BA6876"/>
    <w:rsid w:val="00BA7091"/>
    <w:rsid w:val="00BB1BBB"/>
    <w:rsid w:val="00BB40DC"/>
    <w:rsid w:val="00BB459A"/>
    <w:rsid w:val="00BC1503"/>
    <w:rsid w:val="00BD0E57"/>
    <w:rsid w:val="00BD1EEC"/>
    <w:rsid w:val="00BD30E5"/>
    <w:rsid w:val="00BD53A4"/>
    <w:rsid w:val="00BD72F7"/>
    <w:rsid w:val="00BE1AA2"/>
    <w:rsid w:val="00BE1FE4"/>
    <w:rsid w:val="00BE26AB"/>
    <w:rsid w:val="00BE630E"/>
    <w:rsid w:val="00BE7151"/>
    <w:rsid w:val="00BE743B"/>
    <w:rsid w:val="00BF4F5B"/>
    <w:rsid w:val="00BF6612"/>
    <w:rsid w:val="00BF6A51"/>
    <w:rsid w:val="00BF6CA0"/>
    <w:rsid w:val="00C00108"/>
    <w:rsid w:val="00C022FA"/>
    <w:rsid w:val="00C04010"/>
    <w:rsid w:val="00C11937"/>
    <w:rsid w:val="00C15E90"/>
    <w:rsid w:val="00C213B8"/>
    <w:rsid w:val="00C22609"/>
    <w:rsid w:val="00C311EE"/>
    <w:rsid w:val="00C32415"/>
    <w:rsid w:val="00C3288A"/>
    <w:rsid w:val="00C3356D"/>
    <w:rsid w:val="00C35A25"/>
    <w:rsid w:val="00C402E3"/>
    <w:rsid w:val="00C406E6"/>
    <w:rsid w:val="00C42F2F"/>
    <w:rsid w:val="00C4699B"/>
    <w:rsid w:val="00C5347F"/>
    <w:rsid w:val="00C5389E"/>
    <w:rsid w:val="00C548CF"/>
    <w:rsid w:val="00C55F5F"/>
    <w:rsid w:val="00C61A7E"/>
    <w:rsid w:val="00C62756"/>
    <w:rsid w:val="00C64881"/>
    <w:rsid w:val="00C65FAC"/>
    <w:rsid w:val="00C678BF"/>
    <w:rsid w:val="00C75B4B"/>
    <w:rsid w:val="00C86707"/>
    <w:rsid w:val="00C86E0D"/>
    <w:rsid w:val="00C9196B"/>
    <w:rsid w:val="00C91C93"/>
    <w:rsid w:val="00CB3839"/>
    <w:rsid w:val="00CB7C8D"/>
    <w:rsid w:val="00CC775A"/>
    <w:rsid w:val="00CD1B2F"/>
    <w:rsid w:val="00CD1CA0"/>
    <w:rsid w:val="00CD7FAC"/>
    <w:rsid w:val="00CE42DF"/>
    <w:rsid w:val="00CE451F"/>
    <w:rsid w:val="00CE51D8"/>
    <w:rsid w:val="00CE5A54"/>
    <w:rsid w:val="00CE7219"/>
    <w:rsid w:val="00CF265D"/>
    <w:rsid w:val="00CF2C86"/>
    <w:rsid w:val="00CF4179"/>
    <w:rsid w:val="00CF57B6"/>
    <w:rsid w:val="00D03209"/>
    <w:rsid w:val="00D032E9"/>
    <w:rsid w:val="00D04BB8"/>
    <w:rsid w:val="00D1182E"/>
    <w:rsid w:val="00D14CF7"/>
    <w:rsid w:val="00D15105"/>
    <w:rsid w:val="00D152A3"/>
    <w:rsid w:val="00D15672"/>
    <w:rsid w:val="00D179FE"/>
    <w:rsid w:val="00D21751"/>
    <w:rsid w:val="00D21F86"/>
    <w:rsid w:val="00D25766"/>
    <w:rsid w:val="00D34846"/>
    <w:rsid w:val="00D4061C"/>
    <w:rsid w:val="00D42E4B"/>
    <w:rsid w:val="00D44F8C"/>
    <w:rsid w:val="00D5241C"/>
    <w:rsid w:val="00D56909"/>
    <w:rsid w:val="00D57ABB"/>
    <w:rsid w:val="00D66F9E"/>
    <w:rsid w:val="00D6733F"/>
    <w:rsid w:val="00D74865"/>
    <w:rsid w:val="00D75A1C"/>
    <w:rsid w:val="00D83B08"/>
    <w:rsid w:val="00D84366"/>
    <w:rsid w:val="00D85959"/>
    <w:rsid w:val="00D86FB1"/>
    <w:rsid w:val="00D87B22"/>
    <w:rsid w:val="00D902DF"/>
    <w:rsid w:val="00D90DA9"/>
    <w:rsid w:val="00D90E7F"/>
    <w:rsid w:val="00D95CD7"/>
    <w:rsid w:val="00D965BE"/>
    <w:rsid w:val="00DA3705"/>
    <w:rsid w:val="00DA5CCC"/>
    <w:rsid w:val="00DB1EF0"/>
    <w:rsid w:val="00DB3B29"/>
    <w:rsid w:val="00DB400A"/>
    <w:rsid w:val="00DB5CB9"/>
    <w:rsid w:val="00DB7681"/>
    <w:rsid w:val="00DC14ED"/>
    <w:rsid w:val="00DC1F39"/>
    <w:rsid w:val="00DC3FB0"/>
    <w:rsid w:val="00DC4547"/>
    <w:rsid w:val="00DC532F"/>
    <w:rsid w:val="00DC799D"/>
    <w:rsid w:val="00DD0709"/>
    <w:rsid w:val="00DD6A44"/>
    <w:rsid w:val="00DD73E2"/>
    <w:rsid w:val="00DF206A"/>
    <w:rsid w:val="00DF3D1A"/>
    <w:rsid w:val="00DF53BE"/>
    <w:rsid w:val="00DF62E9"/>
    <w:rsid w:val="00DF6EAF"/>
    <w:rsid w:val="00DF76B9"/>
    <w:rsid w:val="00E02566"/>
    <w:rsid w:val="00E0275A"/>
    <w:rsid w:val="00E0339E"/>
    <w:rsid w:val="00E078CB"/>
    <w:rsid w:val="00E10658"/>
    <w:rsid w:val="00E13711"/>
    <w:rsid w:val="00E13A27"/>
    <w:rsid w:val="00E15416"/>
    <w:rsid w:val="00E2563F"/>
    <w:rsid w:val="00E2595C"/>
    <w:rsid w:val="00E25A40"/>
    <w:rsid w:val="00E34167"/>
    <w:rsid w:val="00E3501E"/>
    <w:rsid w:val="00E37558"/>
    <w:rsid w:val="00E402A1"/>
    <w:rsid w:val="00E4136D"/>
    <w:rsid w:val="00E42BE0"/>
    <w:rsid w:val="00E44566"/>
    <w:rsid w:val="00E44E89"/>
    <w:rsid w:val="00E45716"/>
    <w:rsid w:val="00E46F53"/>
    <w:rsid w:val="00E515BE"/>
    <w:rsid w:val="00E517C3"/>
    <w:rsid w:val="00E53E9C"/>
    <w:rsid w:val="00E546ED"/>
    <w:rsid w:val="00E558DA"/>
    <w:rsid w:val="00E62C96"/>
    <w:rsid w:val="00E65C12"/>
    <w:rsid w:val="00E660CC"/>
    <w:rsid w:val="00E6622E"/>
    <w:rsid w:val="00E66E39"/>
    <w:rsid w:val="00E67403"/>
    <w:rsid w:val="00E74A9A"/>
    <w:rsid w:val="00E75540"/>
    <w:rsid w:val="00E76303"/>
    <w:rsid w:val="00E76D75"/>
    <w:rsid w:val="00E820F8"/>
    <w:rsid w:val="00E8282D"/>
    <w:rsid w:val="00E90AC8"/>
    <w:rsid w:val="00E90B9F"/>
    <w:rsid w:val="00E92645"/>
    <w:rsid w:val="00E950B4"/>
    <w:rsid w:val="00EA2B78"/>
    <w:rsid w:val="00EA2CE6"/>
    <w:rsid w:val="00EA3C15"/>
    <w:rsid w:val="00EA66D3"/>
    <w:rsid w:val="00EB02E9"/>
    <w:rsid w:val="00EB068D"/>
    <w:rsid w:val="00EB197F"/>
    <w:rsid w:val="00EB2E3E"/>
    <w:rsid w:val="00EB3830"/>
    <w:rsid w:val="00EB551D"/>
    <w:rsid w:val="00EB6C79"/>
    <w:rsid w:val="00EC01F2"/>
    <w:rsid w:val="00EC63C5"/>
    <w:rsid w:val="00EC733C"/>
    <w:rsid w:val="00EC7AF7"/>
    <w:rsid w:val="00ED0864"/>
    <w:rsid w:val="00ED31B1"/>
    <w:rsid w:val="00ED3A1E"/>
    <w:rsid w:val="00ED7CE5"/>
    <w:rsid w:val="00EE0E31"/>
    <w:rsid w:val="00EE2258"/>
    <w:rsid w:val="00EE291E"/>
    <w:rsid w:val="00EE3732"/>
    <w:rsid w:val="00EF02AE"/>
    <w:rsid w:val="00EF2028"/>
    <w:rsid w:val="00EF5D19"/>
    <w:rsid w:val="00EF6D47"/>
    <w:rsid w:val="00F01F5C"/>
    <w:rsid w:val="00F021C7"/>
    <w:rsid w:val="00F05AA5"/>
    <w:rsid w:val="00F10515"/>
    <w:rsid w:val="00F14133"/>
    <w:rsid w:val="00F14419"/>
    <w:rsid w:val="00F14691"/>
    <w:rsid w:val="00F15C6B"/>
    <w:rsid w:val="00F16B76"/>
    <w:rsid w:val="00F17C0B"/>
    <w:rsid w:val="00F32AD4"/>
    <w:rsid w:val="00F337E7"/>
    <w:rsid w:val="00F340B3"/>
    <w:rsid w:val="00F35879"/>
    <w:rsid w:val="00F54F8E"/>
    <w:rsid w:val="00F54FC5"/>
    <w:rsid w:val="00F552CC"/>
    <w:rsid w:val="00F5631B"/>
    <w:rsid w:val="00F572DD"/>
    <w:rsid w:val="00F573A9"/>
    <w:rsid w:val="00F575FE"/>
    <w:rsid w:val="00F61939"/>
    <w:rsid w:val="00F658E3"/>
    <w:rsid w:val="00F673D4"/>
    <w:rsid w:val="00F6784D"/>
    <w:rsid w:val="00F67B20"/>
    <w:rsid w:val="00F71A89"/>
    <w:rsid w:val="00F757A9"/>
    <w:rsid w:val="00F760E4"/>
    <w:rsid w:val="00F769B8"/>
    <w:rsid w:val="00F80E0B"/>
    <w:rsid w:val="00F8178F"/>
    <w:rsid w:val="00F8656F"/>
    <w:rsid w:val="00F87B8C"/>
    <w:rsid w:val="00F916A8"/>
    <w:rsid w:val="00F927A7"/>
    <w:rsid w:val="00F95907"/>
    <w:rsid w:val="00F963C9"/>
    <w:rsid w:val="00F97C3E"/>
    <w:rsid w:val="00FA0EF5"/>
    <w:rsid w:val="00FA1FD5"/>
    <w:rsid w:val="00FA4B12"/>
    <w:rsid w:val="00FA6898"/>
    <w:rsid w:val="00FB250C"/>
    <w:rsid w:val="00FB7AD3"/>
    <w:rsid w:val="00FC1947"/>
    <w:rsid w:val="00FC38F7"/>
    <w:rsid w:val="00FC5F44"/>
    <w:rsid w:val="00FC732E"/>
    <w:rsid w:val="00FC7A1A"/>
    <w:rsid w:val="00FD4011"/>
    <w:rsid w:val="00FD4DDF"/>
    <w:rsid w:val="00FE1778"/>
    <w:rsid w:val="00FE3157"/>
    <w:rsid w:val="00FE4128"/>
    <w:rsid w:val="00FE730A"/>
    <w:rsid w:val="00FF00DB"/>
    <w:rsid w:val="00FF26E4"/>
    <w:rsid w:val="00FF3E9F"/>
    <w:rsid w:val="00F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FC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80FCF"/>
    <w:pPr>
      <w:keepNext/>
      <w:numPr>
        <w:numId w:val="1"/>
      </w:numPr>
      <w:jc w:val="center"/>
      <w:outlineLvl w:val="0"/>
    </w:pPr>
    <w:rPr>
      <w:rFonts w:ascii="Univers ExtendedPS" w:eastAsia="Times" w:hAnsi="Univers ExtendedPS"/>
      <w:b/>
      <w:bCs/>
      <w:lang w:eastAsia="he-IL" w:bidi="he-IL"/>
    </w:rPr>
  </w:style>
  <w:style w:type="paragraph" w:styleId="Titolo2">
    <w:name w:val="heading 2"/>
    <w:basedOn w:val="Normale"/>
    <w:next w:val="Normale"/>
    <w:qFormat/>
    <w:rsid w:val="00580F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80F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80F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580F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80FCF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580FC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80FCF"/>
  </w:style>
  <w:style w:type="character" w:customStyle="1" w:styleId="WW8Num1z0">
    <w:name w:val="WW8Num1z0"/>
    <w:rsid w:val="00580FCF"/>
    <w:rPr>
      <w:rFonts w:ascii="Wingdings" w:hAnsi="Wingdings"/>
    </w:rPr>
  </w:style>
  <w:style w:type="character" w:customStyle="1" w:styleId="WW8Num1z1">
    <w:name w:val="WW8Num1z1"/>
    <w:rsid w:val="00580FCF"/>
    <w:rPr>
      <w:rFonts w:ascii="Courier New" w:hAnsi="Courier New" w:cs="Courier New"/>
    </w:rPr>
  </w:style>
  <w:style w:type="character" w:customStyle="1" w:styleId="WW8Num1z3">
    <w:name w:val="WW8Num1z3"/>
    <w:rsid w:val="00580FCF"/>
    <w:rPr>
      <w:rFonts w:ascii="Symbol" w:hAnsi="Symbol"/>
    </w:rPr>
  </w:style>
  <w:style w:type="character" w:customStyle="1" w:styleId="WW8Num3z0">
    <w:name w:val="WW8Num3z0"/>
    <w:rsid w:val="00580FCF"/>
    <w:rPr>
      <w:rFonts w:ascii="Wingdings" w:hAnsi="Wingdings"/>
    </w:rPr>
  </w:style>
  <w:style w:type="character" w:customStyle="1" w:styleId="WW8Num3z1">
    <w:name w:val="WW8Num3z1"/>
    <w:rsid w:val="00580FCF"/>
    <w:rPr>
      <w:rFonts w:ascii="Courier New" w:hAnsi="Courier New" w:cs="Courier New"/>
    </w:rPr>
  </w:style>
  <w:style w:type="character" w:customStyle="1" w:styleId="WW8Num3z3">
    <w:name w:val="WW8Num3z3"/>
    <w:rsid w:val="00580FCF"/>
    <w:rPr>
      <w:rFonts w:ascii="Symbol" w:hAnsi="Symbol"/>
    </w:rPr>
  </w:style>
  <w:style w:type="character" w:customStyle="1" w:styleId="WW8Num4z0">
    <w:name w:val="WW8Num4z0"/>
    <w:rsid w:val="00580FCF"/>
    <w:rPr>
      <w:rFonts w:ascii="Tahoma" w:eastAsia="Times New Roman" w:hAnsi="Tahoma" w:cs="Tahoma"/>
      <w:sz w:val="24"/>
    </w:rPr>
  </w:style>
  <w:style w:type="character" w:customStyle="1" w:styleId="WW8Num4z1">
    <w:name w:val="WW8Num4z1"/>
    <w:rsid w:val="00580FCF"/>
    <w:rPr>
      <w:sz w:val="24"/>
    </w:rPr>
  </w:style>
  <w:style w:type="character" w:customStyle="1" w:styleId="WW8Num4z2">
    <w:name w:val="WW8Num4z2"/>
    <w:rsid w:val="00580FCF"/>
    <w:rPr>
      <w:rFonts w:ascii="Wingdings" w:hAnsi="Wingdings"/>
    </w:rPr>
  </w:style>
  <w:style w:type="character" w:customStyle="1" w:styleId="WW8Num4z3">
    <w:name w:val="WW8Num4z3"/>
    <w:rsid w:val="00580FCF"/>
    <w:rPr>
      <w:rFonts w:ascii="Symbol" w:hAnsi="Symbol"/>
    </w:rPr>
  </w:style>
  <w:style w:type="character" w:customStyle="1" w:styleId="WW8Num4z4">
    <w:name w:val="WW8Num4z4"/>
    <w:rsid w:val="00580FCF"/>
    <w:rPr>
      <w:rFonts w:ascii="Courier New" w:hAnsi="Courier New" w:cs="Courier New"/>
    </w:rPr>
  </w:style>
  <w:style w:type="character" w:customStyle="1" w:styleId="WW8Num6z0">
    <w:name w:val="WW8Num6z0"/>
    <w:rsid w:val="00580FCF"/>
    <w:rPr>
      <w:rFonts w:ascii="Symbol" w:hAnsi="Symbol"/>
    </w:rPr>
  </w:style>
  <w:style w:type="character" w:customStyle="1" w:styleId="WW8Num7z0">
    <w:name w:val="WW8Num7z0"/>
    <w:rsid w:val="00580FCF"/>
    <w:rPr>
      <w:rFonts w:ascii="Wingdings" w:hAnsi="Wingdings"/>
    </w:rPr>
  </w:style>
  <w:style w:type="character" w:customStyle="1" w:styleId="WW8Num7z1">
    <w:name w:val="WW8Num7z1"/>
    <w:rsid w:val="00580FCF"/>
    <w:rPr>
      <w:rFonts w:ascii="Courier New" w:hAnsi="Courier New" w:cs="Courier New"/>
    </w:rPr>
  </w:style>
  <w:style w:type="character" w:customStyle="1" w:styleId="WW8Num7z3">
    <w:name w:val="WW8Num7z3"/>
    <w:rsid w:val="00580FCF"/>
    <w:rPr>
      <w:rFonts w:ascii="Symbol" w:hAnsi="Symbol"/>
    </w:rPr>
  </w:style>
  <w:style w:type="character" w:customStyle="1" w:styleId="WW8Num8z0">
    <w:name w:val="WW8Num8z0"/>
    <w:rsid w:val="00580FCF"/>
    <w:rPr>
      <w:rFonts w:ascii="Wingdings" w:hAnsi="Wingdings"/>
    </w:rPr>
  </w:style>
  <w:style w:type="character" w:customStyle="1" w:styleId="WW8Num8z1">
    <w:name w:val="WW8Num8z1"/>
    <w:rsid w:val="00580FCF"/>
    <w:rPr>
      <w:rFonts w:ascii="Courier New" w:hAnsi="Courier New" w:cs="Courier New"/>
    </w:rPr>
  </w:style>
  <w:style w:type="character" w:customStyle="1" w:styleId="WW8Num8z3">
    <w:name w:val="WW8Num8z3"/>
    <w:rsid w:val="00580FCF"/>
    <w:rPr>
      <w:rFonts w:ascii="Symbol" w:hAnsi="Symbol"/>
    </w:rPr>
  </w:style>
  <w:style w:type="character" w:customStyle="1" w:styleId="WW8Num9z0">
    <w:name w:val="WW8Num9z0"/>
    <w:rsid w:val="00580FCF"/>
    <w:rPr>
      <w:sz w:val="24"/>
      <w:szCs w:val="24"/>
    </w:rPr>
  </w:style>
  <w:style w:type="character" w:customStyle="1" w:styleId="WW8Num11z0">
    <w:name w:val="WW8Num11z0"/>
    <w:rsid w:val="00580FCF"/>
    <w:rPr>
      <w:sz w:val="24"/>
      <w:szCs w:val="24"/>
    </w:rPr>
  </w:style>
  <w:style w:type="character" w:customStyle="1" w:styleId="WW8Num13z0">
    <w:name w:val="WW8Num13z0"/>
    <w:rsid w:val="00580FCF"/>
    <w:rPr>
      <w:rFonts w:ascii="Tahoma" w:eastAsia="Times New Roman" w:hAnsi="Tahoma" w:cs="Tahoma"/>
    </w:rPr>
  </w:style>
  <w:style w:type="character" w:customStyle="1" w:styleId="WW8Num13z1">
    <w:name w:val="WW8Num13z1"/>
    <w:rsid w:val="00580FCF"/>
    <w:rPr>
      <w:rFonts w:ascii="Courier New" w:hAnsi="Courier New" w:cs="Courier New"/>
    </w:rPr>
  </w:style>
  <w:style w:type="character" w:customStyle="1" w:styleId="WW8Num13z2">
    <w:name w:val="WW8Num13z2"/>
    <w:rsid w:val="00580FCF"/>
    <w:rPr>
      <w:rFonts w:ascii="Wingdings" w:hAnsi="Wingdings"/>
    </w:rPr>
  </w:style>
  <w:style w:type="character" w:customStyle="1" w:styleId="WW8Num13z3">
    <w:name w:val="WW8Num13z3"/>
    <w:rsid w:val="00580FCF"/>
    <w:rPr>
      <w:rFonts w:ascii="Symbol" w:hAnsi="Symbol"/>
    </w:rPr>
  </w:style>
  <w:style w:type="character" w:customStyle="1" w:styleId="WW8Num14z0">
    <w:name w:val="WW8Num14z0"/>
    <w:rsid w:val="00580FCF"/>
    <w:rPr>
      <w:b/>
    </w:rPr>
  </w:style>
  <w:style w:type="character" w:customStyle="1" w:styleId="WW8Num15z0">
    <w:name w:val="WW8Num15z0"/>
    <w:rsid w:val="00580FCF"/>
    <w:rPr>
      <w:sz w:val="24"/>
      <w:szCs w:val="24"/>
    </w:rPr>
  </w:style>
  <w:style w:type="character" w:customStyle="1" w:styleId="WW8Num16z0">
    <w:name w:val="WW8Num16z0"/>
    <w:rsid w:val="00580FCF"/>
    <w:rPr>
      <w:rFonts w:ascii="Symbol" w:hAnsi="Symbol"/>
    </w:rPr>
  </w:style>
  <w:style w:type="character" w:customStyle="1" w:styleId="WW8Num20z0">
    <w:name w:val="WW8Num20z0"/>
    <w:rsid w:val="00580FCF"/>
    <w:rPr>
      <w:rFonts w:ascii="Symbol" w:hAnsi="Symbol"/>
    </w:rPr>
  </w:style>
  <w:style w:type="character" w:customStyle="1" w:styleId="WW8Num21z0">
    <w:name w:val="WW8Num21z0"/>
    <w:rsid w:val="00580FCF"/>
    <w:rPr>
      <w:b/>
    </w:rPr>
  </w:style>
  <w:style w:type="character" w:customStyle="1" w:styleId="WW8Num23z0">
    <w:name w:val="WW8Num23z0"/>
    <w:rsid w:val="00580FCF"/>
    <w:rPr>
      <w:rFonts w:cs="Tahoma"/>
      <w:sz w:val="24"/>
    </w:rPr>
  </w:style>
  <w:style w:type="character" w:customStyle="1" w:styleId="WW8Num24z0">
    <w:name w:val="WW8Num24z0"/>
    <w:rsid w:val="00580FCF"/>
    <w:rPr>
      <w:rFonts w:ascii="Symbol" w:hAnsi="Symbol"/>
    </w:rPr>
  </w:style>
  <w:style w:type="character" w:customStyle="1" w:styleId="WW8Num26z0">
    <w:name w:val="WW8Num26z0"/>
    <w:rsid w:val="00580FCF"/>
    <w:rPr>
      <w:sz w:val="20"/>
      <w:szCs w:val="20"/>
    </w:rPr>
  </w:style>
  <w:style w:type="character" w:customStyle="1" w:styleId="WW8Num27z0">
    <w:name w:val="WW8Num27z0"/>
    <w:rsid w:val="00580FCF"/>
    <w:rPr>
      <w:rFonts w:ascii="Symbol" w:hAnsi="Symbol"/>
    </w:rPr>
  </w:style>
  <w:style w:type="character" w:customStyle="1" w:styleId="WW8Num28z0">
    <w:name w:val="WW8Num28z0"/>
    <w:rsid w:val="00580FCF"/>
    <w:rPr>
      <w:rFonts w:ascii="Tahoma" w:eastAsia="Times New Roman" w:hAnsi="Tahoma" w:cs="Tahoma"/>
    </w:rPr>
  </w:style>
  <w:style w:type="character" w:customStyle="1" w:styleId="WW8Num28z1">
    <w:name w:val="WW8Num28z1"/>
    <w:rsid w:val="00580FCF"/>
    <w:rPr>
      <w:rFonts w:ascii="Courier New" w:hAnsi="Courier New" w:cs="Courier New"/>
    </w:rPr>
  </w:style>
  <w:style w:type="character" w:customStyle="1" w:styleId="WW8Num28z2">
    <w:name w:val="WW8Num28z2"/>
    <w:rsid w:val="00580FCF"/>
    <w:rPr>
      <w:rFonts w:ascii="Wingdings" w:hAnsi="Wingdings"/>
    </w:rPr>
  </w:style>
  <w:style w:type="character" w:customStyle="1" w:styleId="WW8Num28z3">
    <w:name w:val="WW8Num28z3"/>
    <w:rsid w:val="00580FCF"/>
    <w:rPr>
      <w:rFonts w:ascii="Symbol" w:hAnsi="Symbol"/>
    </w:rPr>
  </w:style>
  <w:style w:type="character" w:customStyle="1" w:styleId="WW8Num29z0">
    <w:name w:val="WW8Num29z0"/>
    <w:rsid w:val="00580FCF"/>
    <w:rPr>
      <w:sz w:val="24"/>
      <w:szCs w:val="24"/>
    </w:rPr>
  </w:style>
  <w:style w:type="character" w:customStyle="1" w:styleId="WW8Num31z0">
    <w:name w:val="WW8Num31z0"/>
    <w:rsid w:val="00580FCF"/>
    <w:rPr>
      <w:rFonts w:ascii="Times New Roman" w:hAnsi="Times New Roman"/>
    </w:rPr>
  </w:style>
  <w:style w:type="character" w:customStyle="1" w:styleId="WW8Num33z0">
    <w:name w:val="WW8Num33z0"/>
    <w:rsid w:val="00580FCF"/>
    <w:rPr>
      <w:rFonts w:ascii="Tahoma" w:eastAsia="Times New Roman" w:hAnsi="Tahoma" w:cs="Tahoma"/>
    </w:rPr>
  </w:style>
  <w:style w:type="character" w:customStyle="1" w:styleId="WW8Num34z0">
    <w:name w:val="WW8Num34z0"/>
    <w:rsid w:val="00580FCF"/>
    <w:rPr>
      <w:rFonts w:ascii="Wingdings" w:hAnsi="Wingdings"/>
    </w:rPr>
  </w:style>
  <w:style w:type="character" w:customStyle="1" w:styleId="WW8Num34z1">
    <w:name w:val="WW8Num34z1"/>
    <w:rsid w:val="00580FCF"/>
    <w:rPr>
      <w:rFonts w:ascii="Courier New" w:hAnsi="Courier New" w:cs="Courier New"/>
    </w:rPr>
  </w:style>
  <w:style w:type="character" w:customStyle="1" w:styleId="WW8Num34z3">
    <w:name w:val="WW8Num34z3"/>
    <w:rsid w:val="00580FCF"/>
    <w:rPr>
      <w:rFonts w:ascii="Symbol" w:hAnsi="Symbol"/>
    </w:rPr>
  </w:style>
  <w:style w:type="character" w:customStyle="1" w:styleId="WW8Num35z0">
    <w:name w:val="WW8Num35z0"/>
    <w:rsid w:val="00580FCF"/>
    <w:rPr>
      <w:rFonts w:ascii="Verdana" w:eastAsia="Times New Roman" w:hAnsi="Verdana" w:cs="Tahoma"/>
    </w:rPr>
  </w:style>
  <w:style w:type="character" w:customStyle="1" w:styleId="WW8Num35z1">
    <w:name w:val="WW8Num35z1"/>
    <w:rsid w:val="00580FCF"/>
    <w:rPr>
      <w:rFonts w:ascii="Courier New" w:hAnsi="Courier New" w:cs="Courier New"/>
    </w:rPr>
  </w:style>
  <w:style w:type="character" w:customStyle="1" w:styleId="WW8Num35z2">
    <w:name w:val="WW8Num35z2"/>
    <w:rsid w:val="00580FCF"/>
    <w:rPr>
      <w:rFonts w:ascii="Wingdings" w:hAnsi="Wingdings"/>
    </w:rPr>
  </w:style>
  <w:style w:type="character" w:customStyle="1" w:styleId="WW8Num35z3">
    <w:name w:val="WW8Num35z3"/>
    <w:rsid w:val="00580FCF"/>
    <w:rPr>
      <w:rFonts w:ascii="Symbol" w:hAnsi="Symbol"/>
    </w:rPr>
  </w:style>
  <w:style w:type="character" w:customStyle="1" w:styleId="WW8Num36z0">
    <w:name w:val="WW8Num36z0"/>
    <w:rsid w:val="00580FCF"/>
    <w:rPr>
      <w:rFonts w:ascii="Symbol" w:hAnsi="Symbol"/>
    </w:rPr>
  </w:style>
  <w:style w:type="character" w:customStyle="1" w:styleId="WW8Num37z0">
    <w:name w:val="WW8Num37z0"/>
    <w:rsid w:val="00580FCF"/>
    <w:rPr>
      <w:rFonts w:ascii="Tahoma" w:eastAsia="Times New Roman" w:hAnsi="Tahoma" w:cs="Tahoma"/>
    </w:rPr>
  </w:style>
  <w:style w:type="character" w:customStyle="1" w:styleId="WW8Num37z1">
    <w:name w:val="WW8Num37z1"/>
    <w:rsid w:val="00580FCF"/>
    <w:rPr>
      <w:rFonts w:ascii="Courier New" w:hAnsi="Courier New" w:cs="Courier New"/>
    </w:rPr>
  </w:style>
  <w:style w:type="character" w:customStyle="1" w:styleId="WW8Num37z2">
    <w:name w:val="WW8Num37z2"/>
    <w:rsid w:val="00580FCF"/>
    <w:rPr>
      <w:rFonts w:ascii="Wingdings" w:hAnsi="Wingdings"/>
    </w:rPr>
  </w:style>
  <w:style w:type="character" w:customStyle="1" w:styleId="WW8Num37z3">
    <w:name w:val="WW8Num37z3"/>
    <w:rsid w:val="00580FCF"/>
    <w:rPr>
      <w:rFonts w:ascii="Symbol" w:hAnsi="Symbol"/>
    </w:rPr>
  </w:style>
  <w:style w:type="character" w:customStyle="1" w:styleId="WW8Num38z0">
    <w:name w:val="WW8Num38z0"/>
    <w:rsid w:val="00580FCF"/>
    <w:rPr>
      <w:rFonts w:ascii="Tahoma" w:eastAsia="Times New Roman" w:hAnsi="Tahoma" w:cs="Tahoma"/>
    </w:rPr>
  </w:style>
  <w:style w:type="character" w:customStyle="1" w:styleId="WW8Num39z0">
    <w:name w:val="WW8Num39z0"/>
    <w:rsid w:val="00580FCF"/>
    <w:rPr>
      <w:rFonts w:ascii="Symbol" w:hAnsi="Symbol"/>
    </w:rPr>
  </w:style>
  <w:style w:type="character" w:customStyle="1" w:styleId="WW8Num40z0">
    <w:name w:val="WW8Num40z0"/>
    <w:rsid w:val="00580FCF"/>
    <w:rPr>
      <w:rFonts w:ascii="Symbol" w:hAnsi="Symbol"/>
    </w:rPr>
  </w:style>
  <w:style w:type="character" w:customStyle="1" w:styleId="WW8Num41z0">
    <w:name w:val="WW8Num41z0"/>
    <w:rsid w:val="00580FCF"/>
    <w:rPr>
      <w:b/>
    </w:rPr>
  </w:style>
  <w:style w:type="character" w:customStyle="1" w:styleId="WW8Num42z0">
    <w:name w:val="WW8Num42z0"/>
    <w:rsid w:val="00580FCF"/>
    <w:rPr>
      <w:rFonts w:ascii="Tahoma" w:eastAsia="Times New Roman" w:hAnsi="Tahoma" w:cs="Tahoma"/>
    </w:rPr>
  </w:style>
  <w:style w:type="character" w:customStyle="1" w:styleId="WW8Num42z1">
    <w:name w:val="WW8Num42z1"/>
    <w:rsid w:val="00580FCF"/>
    <w:rPr>
      <w:rFonts w:ascii="Courier New" w:hAnsi="Courier New" w:cs="Courier New"/>
    </w:rPr>
  </w:style>
  <w:style w:type="character" w:customStyle="1" w:styleId="WW8Num42z2">
    <w:name w:val="WW8Num42z2"/>
    <w:rsid w:val="00580FCF"/>
    <w:rPr>
      <w:rFonts w:ascii="Wingdings" w:hAnsi="Wingdings"/>
    </w:rPr>
  </w:style>
  <w:style w:type="character" w:customStyle="1" w:styleId="WW8Num42z3">
    <w:name w:val="WW8Num42z3"/>
    <w:rsid w:val="00580FCF"/>
    <w:rPr>
      <w:rFonts w:ascii="Symbol" w:hAnsi="Symbol"/>
    </w:rPr>
  </w:style>
  <w:style w:type="character" w:customStyle="1" w:styleId="WW8Num43z0">
    <w:name w:val="WW8Num43z0"/>
    <w:rsid w:val="00580FCF"/>
    <w:rPr>
      <w:sz w:val="24"/>
      <w:szCs w:val="24"/>
    </w:rPr>
  </w:style>
  <w:style w:type="character" w:customStyle="1" w:styleId="WW8Num44z0">
    <w:name w:val="WW8Num44z0"/>
    <w:rsid w:val="00580FCF"/>
    <w:rPr>
      <w:rFonts w:ascii="Tahoma" w:eastAsia="Times New Roman" w:hAnsi="Tahoma" w:cs="Tahoma"/>
    </w:rPr>
  </w:style>
  <w:style w:type="character" w:customStyle="1" w:styleId="WW8Num44z1">
    <w:name w:val="WW8Num44z1"/>
    <w:rsid w:val="00580FCF"/>
    <w:rPr>
      <w:rFonts w:ascii="Courier New" w:hAnsi="Courier New" w:cs="Courier New"/>
    </w:rPr>
  </w:style>
  <w:style w:type="character" w:customStyle="1" w:styleId="WW8Num44z2">
    <w:name w:val="WW8Num44z2"/>
    <w:rsid w:val="00580FCF"/>
    <w:rPr>
      <w:rFonts w:ascii="Wingdings" w:hAnsi="Wingdings"/>
    </w:rPr>
  </w:style>
  <w:style w:type="character" w:customStyle="1" w:styleId="WW8Num44z3">
    <w:name w:val="WW8Num44z3"/>
    <w:rsid w:val="00580FCF"/>
    <w:rPr>
      <w:rFonts w:ascii="Symbol" w:hAnsi="Symbol"/>
    </w:rPr>
  </w:style>
  <w:style w:type="character" w:customStyle="1" w:styleId="Carpredefinitoparagrafo1">
    <w:name w:val="Car. predefinito paragrafo1"/>
    <w:rsid w:val="00580FCF"/>
  </w:style>
  <w:style w:type="character" w:styleId="Numeropagina">
    <w:name w:val="page number"/>
    <w:basedOn w:val="Carpredefinitoparagrafo1"/>
    <w:rsid w:val="00580FCF"/>
  </w:style>
  <w:style w:type="character" w:styleId="Collegamentoipertestuale">
    <w:name w:val="Hyperlink"/>
    <w:rsid w:val="00580FCF"/>
    <w:rPr>
      <w:color w:val="0000FF"/>
      <w:u w:val="single"/>
    </w:rPr>
  </w:style>
  <w:style w:type="character" w:styleId="Enfasigrassetto">
    <w:name w:val="Strong"/>
    <w:uiPriority w:val="22"/>
    <w:qFormat/>
    <w:rsid w:val="00580FCF"/>
    <w:rPr>
      <w:b/>
      <w:bCs/>
    </w:rPr>
  </w:style>
  <w:style w:type="character" w:customStyle="1" w:styleId="cella11">
    <w:name w:val="cella11"/>
    <w:rsid w:val="00580FCF"/>
    <w:rPr>
      <w:rFonts w:ascii="Verdana" w:hAnsi="Verdana"/>
      <w:b/>
      <w:bCs/>
      <w:color w:val="000080"/>
      <w:sz w:val="18"/>
      <w:szCs w:val="18"/>
    </w:rPr>
  </w:style>
  <w:style w:type="character" w:customStyle="1" w:styleId="TestocommentoCarattere">
    <w:name w:val="Testo commento Carattere"/>
    <w:rsid w:val="00580FCF"/>
    <w:rPr>
      <w:rFonts w:ascii="Calibri" w:eastAsia="Calibri" w:hAnsi="Calibri"/>
      <w:lang w:val="it-IT" w:eastAsia="ar-SA" w:bidi="ar-SA"/>
    </w:rPr>
  </w:style>
  <w:style w:type="character" w:customStyle="1" w:styleId="Rimandocommento1">
    <w:name w:val="Rimando commento1"/>
    <w:rsid w:val="00580FCF"/>
    <w:rPr>
      <w:sz w:val="16"/>
      <w:szCs w:val="16"/>
    </w:rPr>
  </w:style>
  <w:style w:type="character" w:customStyle="1" w:styleId="testobianco1">
    <w:name w:val="testobianco1"/>
    <w:rsid w:val="00580FCF"/>
    <w:rPr>
      <w:rFonts w:ascii="Arial" w:hAnsi="Arial" w:cs="Arial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styleId="Enfasicorsivo">
    <w:name w:val="Emphasis"/>
    <w:uiPriority w:val="20"/>
    <w:qFormat/>
    <w:rsid w:val="00580FCF"/>
    <w:rPr>
      <w:b/>
      <w:bCs/>
      <w:i w:val="0"/>
      <w:iCs w:val="0"/>
    </w:rPr>
  </w:style>
  <w:style w:type="character" w:customStyle="1" w:styleId="cella51">
    <w:name w:val="cella51"/>
    <w:rsid w:val="00580FCF"/>
    <w:rPr>
      <w:rFonts w:ascii="Verdana" w:hAnsi="Verdana"/>
      <w:b/>
      <w:bCs/>
      <w:color w:val="4D6FAF"/>
      <w:sz w:val="18"/>
      <w:szCs w:val="18"/>
    </w:rPr>
  </w:style>
  <w:style w:type="character" w:customStyle="1" w:styleId="bckgnd51">
    <w:name w:val="bckgnd51"/>
    <w:rsid w:val="00580FCF"/>
    <w:rPr>
      <w:color w:val="FFFFFF"/>
      <w:shd w:val="clear" w:color="auto" w:fill="4D6FAF"/>
    </w:rPr>
  </w:style>
  <w:style w:type="character" w:customStyle="1" w:styleId="CommentTextChar">
    <w:name w:val="Comment Text Char"/>
    <w:rsid w:val="00580FCF"/>
    <w:rPr>
      <w:rFonts w:cs="Times New Roman"/>
      <w:sz w:val="20"/>
      <w:szCs w:val="20"/>
    </w:rPr>
  </w:style>
  <w:style w:type="character" w:customStyle="1" w:styleId="Caratteredellanota">
    <w:name w:val="Carattere della nota"/>
    <w:rsid w:val="00580FCF"/>
    <w:rPr>
      <w:rFonts w:cs="Times New Roman"/>
      <w:vertAlign w:val="superscript"/>
    </w:rPr>
  </w:style>
  <w:style w:type="character" w:customStyle="1" w:styleId="longtext1">
    <w:name w:val="long_text1"/>
    <w:rsid w:val="00580FCF"/>
    <w:rPr>
      <w:sz w:val="20"/>
      <w:szCs w:val="20"/>
    </w:rPr>
  </w:style>
  <w:style w:type="character" w:customStyle="1" w:styleId="bckgnd11">
    <w:name w:val="bckgnd11"/>
    <w:rsid w:val="00580FCF"/>
    <w:rPr>
      <w:color w:val="FFFFFF"/>
      <w:shd w:val="clear" w:color="auto" w:fill="000080"/>
    </w:rPr>
  </w:style>
  <w:style w:type="character" w:customStyle="1" w:styleId="PidipaginaCarattere">
    <w:name w:val="Piè di pagina Carattere"/>
    <w:rsid w:val="00580FCF"/>
    <w:rPr>
      <w:sz w:val="24"/>
      <w:szCs w:val="24"/>
      <w:lang w:val="it-IT" w:eastAsia="ar-SA" w:bidi="ar-SA"/>
    </w:rPr>
  </w:style>
  <w:style w:type="character" w:customStyle="1" w:styleId="SoggettocommentoCarattere">
    <w:name w:val="Soggetto commento Carattere"/>
    <w:rsid w:val="00580FCF"/>
    <w:rPr>
      <w:rFonts w:ascii="Calibri" w:eastAsia="Calibri" w:hAnsi="Calibri"/>
      <w:b/>
      <w:bCs/>
      <w:lang w:val="it-IT" w:eastAsia="ar-SA" w:bidi="ar-SA"/>
    </w:rPr>
  </w:style>
  <w:style w:type="character" w:customStyle="1" w:styleId="TestofumettoCarattere">
    <w:name w:val="Testo fumetto Carattere"/>
    <w:rsid w:val="00580FCF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580F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580FCF"/>
    <w:pPr>
      <w:spacing w:after="120"/>
    </w:pPr>
  </w:style>
  <w:style w:type="paragraph" w:styleId="Elenco">
    <w:name w:val="List"/>
    <w:basedOn w:val="Corpodeltesto"/>
    <w:rsid w:val="00580FCF"/>
    <w:rPr>
      <w:rFonts w:cs="Mangal"/>
    </w:rPr>
  </w:style>
  <w:style w:type="paragraph" w:customStyle="1" w:styleId="Didascalia1">
    <w:name w:val="Didascalia1"/>
    <w:basedOn w:val="Normale"/>
    <w:rsid w:val="00580FC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80FCF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580FCF"/>
    <w:rPr>
      <w:rFonts w:ascii="Tahoma" w:hAnsi="Tahoma" w:cs="Tahoma"/>
      <w:sz w:val="22"/>
      <w:szCs w:val="20"/>
    </w:rPr>
  </w:style>
  <w:style w:type="paragraph" w:styleId="Rientrocorpodeltesto">
    <w:name w:val="Body Text Indent"/>
    <w:basedOn w:val="Normale"/>
    <w:rsid w:val="00580FCF"/>
    <w:pPr>
      <w:spacing w:after="120"/>
      <w:ind w:left="283"/>
    </w:pPr>
  </w:style>
  <w:style w:type="paragraph" w:styleId="Pidipagina">
    <w:name w:val="footer"/>
    <w:basedOn w:val="Normale"/>
    <w:rsid w:val="00580FCF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deltesto"/>
    <w:qFormat/>
    <w:rsid w:val="00580FCF"/>
    <w:pPr>
      <w:jc w:val="both"/>
    </w:pPr>
    <w:rPr>
      <w:rFonts w:ascii="Univers ExtendedPS" w:hAnsi="Univers ExtendedPS"/>
      <w:sz w:val="28"/>
    </w:rPr>
  </w:style>
  <w:style w:type="paragraph" w:styleId="Testonotaapidipagina">
    <w:name w:val="footnote text"/>
    <w:basedOn w:val="Normale"/>
    <w:rsid w:val="00580FCF"/>
    <w:rPr>
      <w:sz w:val="20"/>
    </w:rPr>
  </w:style>
  <w:style w:type="paragraph" w:styleId="NormaleWeb">
    <w:name w:val="Normal (Web)"/>
    <w:basedOn w:val="Normale"/>
    <w:link w:val="NormaleWebCarattere"/>
    <w:rsid w:val="00580FCF"/>
    <w:pPr>
      <w:spacing w:before="280" w:after="280"/>
    </w:pPr>
  </w:style>
  <w:style w:type="paragraph" w:customStyle="1" w:styleId="Corpodeltesto31">
    <w:name w:val="Corpo del testo 31"/>
    <w:basedOn w:val="Normale"/>
    <w:rsid w:val="00580FCF"/>
    <w:pPr>
      <w:spacing w:after="120"/>
    </w:pPr>
    <w:rPr>
      <w:sz w:val="16"/>
      <w:szCs w:val="16"/>
    </w:rPr>
  </w:style>
  <w:style w:type="paragraph" w:styleId="Intestazione">
    <w:name w:val="header"/>
    <w:basedOn w:val="Normale"/>
    <w:rsid w:val="00580FC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80FCF"/>
    <w:pPr>
      <w:ind w:left="720"/>
    </w:pPr>
  </w:style>
  <w:style w:type="paragraph" w:customStyle="1" w:styleId="Testocommento1">
    <w:name w:val="Testo commento1"/>
    <w:basedOn w:val="Normale"/>
    <w:rsid w:val="00580FCF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customStyle="1" w:styleId="Paragrafoelenco1">
    <w:name w:val="Paragrafo elenco1"/>
    <w:basedOn w:val="Normale"/>
    <w:rsid w:val="00580FC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80FCF"/>
    <w:pPr>
      <w:suppressAutoHyphens/>
      <w:autoSpaceDE w:val="0"/>
    </w:pPr>
    <w:rPr>
      <w:rFonts w:ascii="Century Gothic" w:eastAsia="Arial" w:hAnsi="Century Gothic" w:cs="Century Gothic"/>
      <w:color w:val="000000"/>
      <w:sz w:val="24"/>
      <w:szCs w:val="24"/>
      <w:lang w:eastAsia="ar-SA"/>
    </w:rPr>
  </w:style>
  <w:style w:type="paragraph" w:styleId="Soggettocommento">
    <w:name w:val="annotation subject"/>
    <w:basedOn w:val="Testocommento1"/>
    <w:next w:val="Testocommento1"/>
    <w:rsid w:val="00580FCF"/>
    <w:pPr>
      <w:spacing w:after="0" w:line="240" w:lineRule="auto"/>
    </w:pPr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rsid w:val="00580FCF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rsid w:val="00580FCF"/>
    <w:pPr>
      <w:spacing w:after="120" w:line="480" w:lineRule="auto"/>
      <w:ind w:left="283"/>
    </w:pPr>
  </w:style>
  <w:style w:type="paragraph" w:customStyle="1" w:styleId="Contenutocornice">
    <w:name w:val="Contenuto cornice"/>
    <w:basedOn w:val="Corpodeltesto"/>
    <w:rsid w:val="00580FCF"/>
  </w:style>
  <w:style w:type="paragraph" w:customStyle="1" w:styleId="NormaleTahoma">
    <w:name w:val="Normale Tahoma"/>
    <w:aliases w:val="10 pt"/>
    <w:basedOn w:val="NormaleWeb"/>
    <w:link w:val="NormaleTahomaCarattere"/>
    <w:rsid w:val="004F06E5"/>
    <w:pPr>
      <w:jc w:val="both"/>
    </w:pPr>
    <w:rPr>
      <w:rFonts w:ascii="Tahoma" w:hAnsi="Tahoma" w:cs="Tahoma"/>
    </w:rPr>
  </w:style>
  <w:style w:type="character" w:customStyle="1" w:styleId="NormaleWebCarattere">
    <w:name w:val="Normale (Web) Carattere"/>
    <w:link w:val="NormaleWeb"/>
    <w:rsid w:val="004F06E5"/>
    <w:rPr>
      <w:sz w:val="24"/>
      <w:szCs w:val="24"/>
      <w:lang w:val="it-IT" w:eastAsia="ar-SA" w:bidi="ar-SA"/>
    </w:rPr>
  </w:style>
  <w:style w:type="character" w:customStyle="1" w:styleId="NormaleTahomaCarattere">
    <w:name w:val="Normale Tahoma Carattere"/>
    <w:aliases w:val="10 pt Carattere"/>
    <w:link w:val="NormaleTahoma"/>
    <w:rsid w:val="004F06E5"/>
    <w:rPr>
      <w:rFonts w:ascii="Tahoma" w:hAnsi="Tahoma" w:cs="Tahoma"/>
      <w:sz w:val="24"/>
      <w:szCs w:val="24"/>
      <w:lang w:val="it-IT" w:eastAsia="ar-SA" w:bidi="ar-SA"/>
    </w:rPr>
  </w:style>
  <w:style w:type="paragraph" w:customStyle="1" w:styleId="Stile1">
    <w:name w:val="Stile1"/>
    <w:basedOn w:val="Normale"/>
    <w:rsid w:val="004F06E5"/>
    <w:pPr>
      <w:jc w:val="both"/>
    </w:pPr>
  </w:style>
  <w:style w:type="paragraph" w:customStyle="1" w:styleId="Stile2">
    <w:name w:val="Stile2"/>
    <w:basedOn w:val="Normale"/>
    <w:rsid w:val="004F06E5"/>
    <w:pPr>
      <w:jc w:val="both"/>
    </w:pPr>
  </w:style>
  <w:style w:type="paragraph" w:customStyle="1" w:styleId="Nessunaspaziatura1">
    <w:name w:val="Nessuna spaziatura1"/>
    <w:rsid w:val="00144C99"/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semiHidden/>
    <w:rsid w:val="00EB068D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015E3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3015E3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sid w:val="003015E3"/>
    <w:rPr>
      <w:lang w:eastAsia="ar-SA"/>
    </w:rPr>
  </w:style>
  <w:style w:type="character" w:customStyle="1" w:styleId="st1">
    <w:name w:val="st1"/>
    <w:basedOn w:val="Carpredefinitoparagrafo"/>
    <w:rsid w:val="00F10515"/>
  </w:style>
  <w:style w:type="character" w:customStyle="1" w:styleId="apple-style-span">
    <w:name w:val="apple-style-span"/>
    <w:basedOn w:val="Carpredefinitoparagrafo"/>
    <w:rsid w:val="00897262"/>
  </w:style>
  <w:style w:type="character" w:customStyle="1" w:styleId="apple-converted-space">
    <w:name w:val="apple-converted-space"/>
    <w:basedOn w:val="Carpredefinitoparagrafo"/>
    <w:rsid w:val="009A35B7"/>
  </w:style>
  <w:style w:type="paragraph" w:customStyle="1" w:styleId="p1">
    <w:name w:val="p1"/>
    <w:basedOn w:val="Normale"/>
    <w:rsid w:val="00235BC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E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AF7E0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spe.co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pr.i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simona.miele@prhelp.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berto.grattagliano@prhelp.it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3A931-2006-44D5-AF17-61CD65A7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Links>
    <vt:vector size="24" baseType="variant"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http://www.mypr.it/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mailto:simona.miele@prhelp.i</vt:lpwstr>
      </vt:variant>
      <vt:variant>
        <vt:lpwstr/>
      </vt:variant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mailto:roberto.grattagliano@prhelp.it</vt:lpwstr>
      </vt:variant>
      <vt:variant>
        <vt:lpwstr/>
      </vt:variant>
      <vt:variant>
        <vt:i4>3866669</vt:i4>
      </vt:variant>
      <vt:variant>
        <vt:i4>0</vt:i4>
      </vt:variant>
      <vt:variant>
        <vt:i4>0</vt:i4>
      </vt:variant>
      <vt:variant>
        <vt:i4>5</vt:i4>
      </vt:variant>
      <vt:variant>
        <vt:lpwstr>http://www.mecspe.com/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marta.rispoli</dc:creator>
  <cp:lastModifiedBy>user74</cp:lastModifiedBy>
  <cp:revision>7</cp:revision>
  <cp:lastPrinted>2015-02-25T11:23:00Z</cp:lastPrinted>
  <dcterms:created xsi:type="dcterms:W3CDTF">2015-03-16T18:21:00Z</dcterms:created>
  <dcterms:modified xsi:type="dcterms:W3CDTF">2015-03-17T09:20:00Z</dcterms:modified>
</cp:coreProperties>
</file>